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新疆喀什地区麦盖提县农业技术推广中心2019年度部门决算公开说明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outlineLvl w:val="1"/>
        <w:rPr>
          <w:rFonts w:hint="eastAsia" w:ascii="仿宋_GB2312" w:hAnsi="仿宋_GB2312" w:eastAsia="仿宋_GB2312" w:cs="仿宋_GB2312"/>
          <w:b w:val="0"/>
          <w:sz w:val="32"/>
          <w:lang w:eastAsia="zh-CN"/>
        </w:rPr>
      </w:pPr>
      <w:bookmarkStart w:id="4" w:name="_Toc31238"/>
      <w:bookmarkStart w:id="5" w:name="_Toc2151"/>
      <w:r>
        <w:rPr>
          <w:rFonts w:hint="eastAsia" w:ascii="仿宋_GB2312" w:hAnsi="仿宋_GB2312" w:eastAsia="仿宋_GB2312" w:cs="仿宋_GB2312"/>
          <w:b w:val="0"/>
          <w:sz w:val="32"/>
        </w:rPr>
        <w:t>1、麦盖提县农业技术推广中心负责引进、试验、指导、宣传培训与推广全县农作物的新品种、新技术、新产品</w:t>
      </w:r>
      <w:r>
        <w:rPr>
          <w:rFonts w:hint="eastAsia" w:ascii="仿宋_GB2312" w:hAnsi="仿宋_GB2312" w:eastAsia="仿宋_GB2312" w:cs="仿宋_GB2312"/>
          <w:b w:val="0"/>
          <w:sz w:val="32"/>
          <w:lang w:eastAsia="zh-CN"/>
        </w:rPr>
        <w:t>；</w:t>
      </w:r>
    </w:p>
    <w:p>
      <w:pPr>
        <w:ind w:firstLine="640" w:firstLineChars="200"/>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2、推广农业节水技术与土壤培肥技术；</w:t>
      </w:r>
    </w:p>
    <w:p>
      <w:pPr>
        <w:ind w:firstLine="640" w:firstLineChars="200"/>
        <w:outlineLvl w:val="1"/>
        <w:rPr>
          <w:rFonts w:hint="eastAsia" w:ascii="仿宋_GB2312" w:hAnsi="仿宋_GB2312" w:eastAsia="仿宋_GB2312" w:cs="仿宋_GB2312"/>
          <w:b w:val="0"/>
          <w:sz w:val="32"/>
        </w:rPr>
      </w:pPr>
      <w:r>
        <w:rPr>
          <w:rFonts w:hint="eastAsia" w:ascii="仿宋_GB2312" w:hAnsi="仿宋_GB2312" w:eastAsia="仿宋_GB2312" w:cs="仿宋_GB2312"/>
          <w:b w:val="0"/>
          <w:sz w:val="32"/>
        </w:rPr>
        <w:t>3、负责农作物新品种引种、试验、审定、示范、推广和保护，围绕建立和完善农业社会化服务体系，做好农业技术服务的工作；</w:t>
      </w:r>
    </w:p>
    <w:p>
      <w:pPr>
        <w:ind w:firstLine="640" w:firstLineChars="200"/>
        <w:outlineLvl w:val="1"/>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rPr>
        <w:t>4、负责我县农业新技术推广、新品种引进、植物保护、植物检疫、土壤肥料等专业技术服务工作；负责全县农业技术指导和农业技术咨询工作，推广种植业，促进农业发展，种植业技术试验示范、种植业推广体系管理、种植业培训、种植业技术服务等工作</w:t>
      </w:r>
      <w:r>
        <w:rPr>
          <w:rFonts w:hint="eastAsia" w:ascii="仿宋_GB2312" w:hAnsi="仿宋_GB2312" w:eastAsia="仿宋_GB2312" w:cs="仿宋_GB2312"/>
          <w:b w:val="0"/>
          <w:sz w:val="32"/>
          <w:lang w:eastAsia="zh-CN"/>
        </w:rPr>
        <w:t>；</w:t>
      </w:r>
    </w:p>
    <w:p>
      <w:pPr>
        <w:ind w:firstLine="640" w:firstLineChars="200"/>
        <w:outlineLvl w:val="1"/>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rPr>
        <w:t>5、承办县委、政府交办的其他事项</w:t>
      </w:r>
      <w:r>
        <w:rPr>
          <w:rFonts w:hint="eastAsia" w:ascii="仿宋_GB2312" w:hAnsi="仿宋_GB2312" w:eastAsia="仿宋_GB2312" w:cs="仿宋_GB2312"/>
          <w:b w:val="0"/>
          <w:sz w:val="32"/>
          <w:lang w:eastAsia="zh-CN"/>
        </w:rPr>
        <w:t>。</w:t>
      </w:r>
      <w:bookmarkStart w:id="54" w:name="_GoBack"/>
      <w:bookmarkEnd w:id="54"/>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新疆喀什地区麦盖提县农业技术推广中心2019年度，实有人数40人，其中：在职人员22人，离休人员0人，退休人员18人。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从部门决算单位构成看，新疆喀什地区麦盖提县农业技术推广中心部门决算包括：新疆喀什地区麦盖提县农业技术推广中心决算。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479.47万元，与上年相比，增加42.02万元，增长9.61%，主要原因是：本年度增加耕地质量提升项目资金。本年支出512.85万元，与上年相比，增加74.90万元，增长17.1%，主要原因是：本年度增加耕地质量提升项目资金，其次去年项目结转资金今年支出。</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2019年度本年收入479.47万元，其中：财政拨款收入479.47万元，占100%；上级补助收入0万元，占0%；事业收入0万元，占0%；经营收入0万元，占0%；附属单位上缴收入0万元，占0%；其他收入0万元，占0%。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2019年度本年支出512.85万元，其中：基本支出357.28万元，占69.67%；项目支出155.56万元，占30.33%；上缴上级支出0万元，占0%；经营支出0万元，占0%；对附属单位补助支出0万元，占0%。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479.47万元，与上年相比，增加42.02万元，增长9.61%，主要原因是：本年度增加耕地质量提升项目资金。财政拨款支出512.85万元，与上年相比，增加74.90万元，增长17.1%，主要原因是：本年度增加耕地质量提升项目资金，其次去年项目结转资金今年支出。</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377.52万元，决算数479.47万元，预决算差异率27.01%，主要原因是：年初预算无法预计年中到达的部分专项资金，待资金实际到达后，通过预算追加的方式下达单位，因此决算数大于预算数。财政拨款支出年初预算数377.52万元，决算数512.85万元，预决算差异率35.85%，主要原因是：年初预算无法预计年中到达的部分专项资金，待资金实际到达后，通过预算追加的方式下达单位，因此决算数大于预算数。</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2019年度一般公共预算财政拨款支出512.85万元。按功能分类科目项级科目公开，其中：</w:t>
      </w:r>
    </w:p>
    <w:p>
      <w:pPr>
        <w:ind w:firstLine="480"/>
        <w:jc w:val="both"/>
      </w:pPr>
      <w:r>
        <w:rPr>
          <w:rFonts w:ascii="仿宋_GB2312" w:hAnsi="仿宋_GB2312" w:eastAsia="仿宋_GB2312" w:cs="仿宋_GB2312"/>
          <w:b w:val="0"/>
          <w:sz w:val="32"/>
        </w:rPr>
        <w:t xml:space="preserve">   2080505机关事业单位基本养老保险缴费支出34.66万元；</w:t>
      </w:r>
    </w:p>
    <w:p>
      <w:pPr>
        <w:ind w:firstLine="480"/>
        <w:jc w:val="both"/>
      </w:pPr>
      <w:r>
        <w:rPr>
          <w:rFonts w:ascii="仿宋_GB2312" w:hAnsi="仿宋_GB2312" w:eastAsia="仿宋_GB2312" w:cs="仿宋_GB2312"/>
          <w:b w:val="0"/>
          <w:sz w:val="32"/>
        </w:rPr>
        <w:t xml:space="preserve">   2130104事业运行支出296.57万元；</w:t>
      </w:r>
    </w:p>
    <w:p>
      <w:pPr>
        <w:ind w:firstLine="480"/>
        <w:jc w:val="both"/>
      </w:pPr>
      <w:r>
        <w:rPr>
          <w:rFonts w:ascii="仿宋_GB2312" w:hAnsi="仿宋_GB2312" w:eastAsia="仿宋_GB2312" w:cs="仿宋_GB2312"/>
          <w:b w:val="0"/>
          <w:sz w:val="32"/>
        </w:rPr>
        <w:t xml:space="preserve">   2130119防灾救灾支出29.38万元；</w:t>
      </w:r>
    </w:p>
    <w:p>
      <w:pPr>
        <w:ind w:firstLine="480"/>
        <w:jc w:val="both"/>
      </w:pPr>
      <w:r>
        <w:rPr>
          <w:rFonts w:ascii="仿宋_GB2312" w:hAnsi="仿宋_GB2312" w:eastAsia="仿宋_GB2312" w:cs="仿宋_GB2312"/>
          <w:b w:val="0"/>
          <w:sz w:val="32"/>
        </w:rPr>
        <w:t xml:space="preserve">   2130135农业资源保护修复与利用支出92.81万元；</w:t>
      </w:r>
    </w:p>
    <w:p>
      <w:pPr>
        <w:ind w:firstLine="480"/>
        <w:jc w:val="both"/>
      </w:pPr>
      <w:r>
        <w:rPr>
          <w:rFonts w:ascii="仿宋_GB2312" w:hAnsi="仿宋_GB2312" w:eastAsia="仿宋_GB2312" w:cs="仿宋_GB2312"/>
          <w:b w:val="0"/>
          <w:sz w:val="32"/>
        </w:rPr>
        <w:t xml:space="preserve">   2130199其他农业支出33.38万元；</w:t>
      </w:r>
    </w:p>
    <w:p>
      <w:pPr>
        <w:ind w:firstLine="480"/>
        <w:jc w:val="both"/>
      </w:pPr>
      <w:r>
        <w:rPr>
          <w:rFonts w:ascii="仿宋_GB2312" w:hAnsi="仿宋_GB2312" w:eastAsia="仿宋_GB2312" w:cs="仿宋_GB2312"/>
          <w:b w:val="0"/>
          <w:sz w:val="32"/>
        </w:rPr>
        <w:t xml:space="preserve">   2210201住房公积金支出26.05万元。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2019年度一般公共预算财政拨款基本支出357.28万元，其中：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人员经费347.28万元，包括：基本工资、津贴补贴、奖金、绩效工资、机关事业单位基本养老保险缴费、职工基本医疗保险缴费、其他社会保障缴费、住房公积金、退休费、生活补助、奖励金。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公用经费10万元，包括：办公费、取暖费、公务用车运行维护费。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1.55万元，比上年增加0.10万元，增长6.9%，主要原因是项目资金较去年增加，为开展专项业务活动，需经常下乡下村开展工作，因此所需车辆运行维护费较去年增加。其中，因公出国（境）费支出0万元，占0%，比上年增加0万元，增长0%，主要原因是与上年相比无变动，与上年一致；公务用车购置及运行维护费支出1.55万元，占100%，比上年增加0.10万元，增长6.9%，主要原因是项目资金较去年增加，为开展专项业务活动，需经常下乡下村开展工作，因此所需车辆运行维护费较去年增加；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公务用车购置及运行维护费1.55万元，其中，公务用车购置费0万元，公务用车运行维护费1.55万元。公务用车运行维护费开支内容包括汽车油料、维护费、车辆保险费。公务用车购置数0辆，公务用车保有量4辆。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1.56万元，决算数1.55万元，预决算差异率-0.64%，主要原因是：部分车辆由主管单位调配使用，对应费用由主管单位自行承担，因此实际产生的“三公”经费小于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1.56万元，决算数1.55万元，预决算差异率-0.64%，主要原因是：部分车辆由主管单位调配使用，对应费用由主管单位自行承担，因此实际产生的“三公”经费小于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新疆喀什地区麦盖提县农业技术推广中心日常公用经费10万元，比上年增加2.05万元，增长25.79%，主要原因是项目资金较去年增加，为开展专项业务所需的日常开支增加。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2019年度政府采购支出总额47.87万元，其中：政府采购货物支出46.80万元、政府采购工程支出0万元、政府采购服务支出1.07万元。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授予中小企业合同金额1.07万元，占政府采购支出总额的2.24%，其中：授予小微企业合同金额1.07万元，占政府采购支出总额的2.24%。</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3,035.08（平方米），价值406.53万元。车辆4辆，价值56.62万元，其中：副部（省）级及以上领导用车0辆、主要领导干部用车0辆、机要通信用车0辆、应急保障用车0辆、执法执勤用车0辆、特种专业技术用车0辆、离退休干部用车0辆、其他用车4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1个，共涉及资金92.81万元。预算绩效管理取得的成效：2019年中央耕地质量提升项目：通过项目实施带动，构建有特色的耕地轮作休耕制度，促进生态环境和资源永绪利用，同时推广可持续的化肥减量增效绿色种植模式。发现的问题及原因：2019年本项目绩效目标未达成，项目资金有结余。原因：自治区、地区项目实施方案4月份下达，我县实施方案4月份制定完毕，项目资金于2019年5月到位，项目才开始正式实施，项目严格按照实施方案落实进度，到2020年4月项目实施完毕。下一步改进措施：今后加强资金管理，严格执行资金管理办法和财政资金管理制度，按照项目实施方案、项目进度表严格执行，稳步推进，并对各项指标和指标值的设定要进一步优化、完善。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5686A2D"/>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12</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2020-11-14T02:59:16Z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