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新疆喀什地区麦盖提县种子质量监督检测中心2019年度部门决算公开说明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bookmarkStart w:id="4" w:name="_Toc31238"/>
      <w:bookmarkStart w:id="5" w:name="_Toc2151"/>
      <w:r>
        <w:rPr>
          <w:rFonts w:hint="eastAsia" w:ascii="仿宋_GB2312" w:hAnsi="仿宋_GB2312" w:eastAsia="仿宋_GB2312" w:cs="仿宋_GB2312"/>
          <w:b w:val="0"/>
          <w:sz w:val="32"/>
        </w:rPr>
        <w:t>1、贯彻执行有关农作物种子的法律、法规和规章制度；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2、编制农作物种子发展规划，组织实施农作物品种引进、区域试验、示范、繁育推广；</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3、负责农作物品种管理；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4、依法查处生</w:t>
      </w:r>
      <w:bookmarkStart w:id="54" w:name="_GoBack"/>
      <w:bookmarkEnd w:id="54"/>
      <w:r>
        <w:rPr>
          <w:rFonts w:hint="eastAsia" w:ascii="仿宋_GB2312" w:hAnsi="仿宋_GB2312" w:eastAsia="仿宋_GB2312" w:cs="仿宋_GB2312"/>
          <w:b w:val="0"/>
          <w:sz w:val="32"/>
        </w:rPr>
        <w:t>产经营农作物种子的违法行为；</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5、管理农作物种子生产、监督农作物种子生产、经营活动和种子质量；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6、培训农作物种子专业技术人员和管理人员；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7、承办法律法规规定的其他职责；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8、承办县委、政府交办的其他事项。</w:t>
      </w:r>
    </w:p>
    <w:p>
      <w:pPr>
        <w:ind w:left="638" w:leftChars="304" w:firstLine="0" w:firstLineChars="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新疆喀什地区麦盖提县种子质量监督检测中心2019年度，实有人数34人，其中：在职人员17人，离休人员0人，退休人员17人。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从部门决算单位构成看，新疆喀什地区麦盖提县种子质量监督检测中心部门决算包括：新疆喀什地区麦盖提县种子质量监督检测中心决算。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232.51万元，与上年相比，增加12.35万元，增长5.61%，主要原因是：人员晋升，工资调整，增资补发。本年支出232.51万元，与上年相比，增加12.35万元，增长5.61%，主要原因是：人员晋升，工资调整，增资补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2019年度本年收入232.51万元，其中：财政拨款收入232.51万元，占100%；上级补助收入0万元，占0%；事业收入0万元，占0%；经营收入0万元，占0%；附属单位上缴收入0万元，占0%；其他收入0万元，占0%。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2019年度本年支出232.51万元，其中：基本支出232.51万元，占100%；项目支出0万元，占0%；上缴上级支出0万元，占0%；经营支出0万元，占0%；对附属单位补助支出0万元，占0%。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232.51万元，与上年相比，增加12.35万元，增长5.61%，主要原因是：人员晋升，工资调整，增资补发。财政拨款支出232.51万元，与上年相比，增加12.35万元，增长5.61%，主要原因是：人员晋升，工资调整，增资补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274.29万元，决算数232.51万元，预决算差异率-15.23%，主要原因是：年中1人调离，同时压缩经费开支，因此决算数小于预算数。财政拨款支出年初预算数274.29万元，决算数232.51万元，预决算差异率-15.23%，主要原因是：年中1人调离，同时压缩经费开支，因此决算数小于预算数。</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2019年度一般公共预算财政拨款支出232.51万元。按功能分类科目项级科目公开，其中：</w:t>
      </w:r>
    </w:p>
    <w:p>
      <w:pPr>
        <w:ind w:firstLine="480"/>
        <w:jc w:val="both"/>
      </w:pPr>
      <w:r>
        <w:rPr>
          <w:rFonts w:ascii="仿宋_GB2312" w:hAnsi="仿宋_GB2312" w:eastAsia="仿宋_GB2312" w:cs="仿宋_GB2312"/>
          <w:b w:val="0"/>
          <w:sz w:val="32"/>
        </w:rPr>
        <w:t xml:space="preserve">   2080505机关事业单位基本养老保险缴费支出23.28万元；</w:t>
      </w:r>
    </w:p>
    <w:p>
      <w:pPr>
        <w:ind w:firstLine="480"/>
        <w:jc w:val="both"/>
      </w:pPr>
      <w:r>
        <w:rPr>
          <w:rFonts w:ascii="仿宋_GB2312" w:hAnsi="仿宋_GB2312" w:eastAsia="仿宋_GB2312" w:cs="仿宋_GB2312"/>
          <w:b w:val="0"/>
          <w:sz w:val="32"/>
        </w:rPr>
        <w:t xml:space="preserve">   2130104事业运行支出191.93万元；</w:t>
      </w:r>
    </w:p>
    <w:p>
      <w:pPr>
        <w:ind w:firstLine="480"/>
        <w:jc w:val="both"/>
      </w:pPr>
      <w:r>
        <w:rPr>
          <w:rFonts w:ascii="仿宋_GB2312" w:hAnsi="仿宋_GB2312" w:eastAsia="仿宋_GB2312" w:cs="仿宋_GB2312"/>
          <w:b w:val="0"/>
          <w:sz w:val="32"/>
        </w:rPr>
        <w:t xml:space="preserve">   2210201住房公积金支出17.30万元。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2019年度一般公共预算财政拨款基本支出232.51万元，其中：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人员经费231.81万元，包括：基本工资、津贴补贴、奖金、绩效工资、机关事业单位基本养老保险缴费、职工基本医疗保险缴费、公务员医疗补助缴费、其他社会保障缴费、住房公积金、退休费、生活补助。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公用经费0.70万元，包括：办公费、水费、电费。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万元，比上年减少1.10万元，降低100%，主要原因是19年车辆运行维护费由主管部门农业农村局承担，因此比上年减少。其中，因公出国（境）费支出0万元，占0%，比上年增加0万元，增长0%，主要原因是与上年相比无变动，与上年一致；公务用车购置及运行维护费支出0万元，占0%，比上年减少1.10万元，降低100%，主要原因是19年车辆运行维护费由主管部门农业农村局承担，因此比上年减少；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4.68万元，决算数0万元，预决算差异率-100%，主要原因是：19年实际产生的“三公”经费由主管部门农业农村局承担，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4.68万元，决算数0万元，预决算差异率-100%，主要原因是：19年实际产生的“三公”经费由主管部门农业农村局承担，因此决算数小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种子质量监督检测中心机关运行经费支出0.70万元，比上年减少4.27万元，降低85.92%，主要原因是与主管部门农业农村局合署办公，大部分经费由主管部门负担，因此日常公用开支较去年减少。</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5,430（平方米），价值591.65万元。车辆1辆，价值16.51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3250"/>
      <w:bookmarkStart w:id="35" w:name="_Toc24143"/>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0D9A2CFB"/>
    <w:rsid w:val="1DAF458D"/>
    <w:rsid w:val="28787A40"/>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1</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2020-11-14T03:44:40Z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