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方正小标宋_GBK" w:eastAsia="方正小标宋_GBK" w:cs="方正小标宋_GBK"/>
          <w:sz w:val="44"/>
        </w:rPr>
        <w:t>新疆喀什地区麦盖提县供销社2019年度部门决算公开说明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24028"/>
      <w:bookmarkStart w:id="1" w:name="_Toc32314"/>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480"/>
        <w:jc w:val="both"/>
      </w:pPr>
      <w:r>
        <w:rPr>
          <w:rFonts w:ascii="仿宋_GB2312" w:hAnsi="仿宋_GB2312" w:eastAsia="仿宋_GB2312" w:cs="仿宋_GB2312"/>
          <w:b w:val="0"/>
          <w:sz w:val="32"/>
        </w:rPr>
        <w:t>麦盖提县供销社，隶属麦盖提县委县人民政府。对本级社有资产行使出资代表和管理职能，监督社有资产保值增值， 围绕建立和完善农业社会化服务体系，做好农业、农村、农民，农民服务的工作。</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ascii="仿宋_GB2312" w:hAnsi="仿宋_GB2312" w:eastAsia="仿宋_GB2312" w:cs="仿宋_GB2312"/>
          <w:sz w:val="32"/>
        </w:rPr>
        <w:t>新疆喀什地区麦盖提县供销社2019年度，实有人数14人，其中：在职人员5人，离休人员0人，退休人员9人。</w:t>
      </w:r>
    </w:p>
    <w:p>
      <w:pPr>
        <w:ind w:firstLine="640" w:firstLineChars="200"/>
        <w:rPr>
          <w:rFonts w:ascii="仿宋_GB2312" w:eastAsia="仿宋_GB2312"/>
          <w:sz w:val="32"/>
          <w:szCs w:val="32"/>
        </w:rPr>
      </w:pPr>
      <w:r>
        <w:rPr>
          <w:rFonts w:ascii="仿宋_GB2312" w:hAnsi="仿宋_GB2312" w:eastAsia="仿宋_GB2312" w:cs="仿宋_GB2312"/>
          <w:sz w:val="32"/>
        </w:rPr>
        <w:t>从部门决算单位构成看，新疆喀什地区麦盖提县供销社部门决算包括：新疆喀什地区麦盖提县供销社决算。</w:t>
      </w:r>
    </w:p>
    <w:p>
      <w:pPr>
        <w:ind w:firstLine="640" w:firstLineChars="200"/>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ascii="仿宋_GB2312" w:hAnsi="仿宋_GB2312" w:eastAsia="仿宋_GB2312" w:cs="仿宋_GB2312"/>
          <w:sz w:val="32"/>
        </w:rPr>
        <w:t>2019年度本年收入88.89万元，与上年相比，增加16.59万元，增长22.95%，主要原因是：人员正常职级晋升，补发工资，追加预算。本年支出88.89万元，与上年相比，增加16.59万元，增长22.95%，主要原因是：人员正常职级晋升，补发工资，追加预算。</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hAnsi="仿宋_GB2312" w:eastAsia="仿宋_GB2312" w:cs="仿宋_GB2312"/>
          <w:sz w:val="32"/>
        </w:rPr>
        <w:t>2019年度本年收入88.89万元，其中：财政拨款收入88.89万元，占100%；上级补助收入0万元，占0%；事业收入0万元，占0%；经营收入0万元，占0%；附属单位上缴收入0万元，占0%；其他收入0万元，占0%。</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hAnsi="仿宋_GB2312" w:eastAsia="仿宋_GB2312" w:cs="仿宋_GB2312"/>
          <w:sz w:val="32"/>
        </w:rPr>
        <w:t>2019年度本年支出88.89万元，其中：基本支出88.89万元，占100%；项目支出0万元，占0%；上缴上级支出0万元，占0%；经营支出0万元，占0%；对附属单位补助支出0万元，占0%。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hAnsi="仿宋_GB2312" w:eastAsia="仿宋_GB2312" w:cs="仿宋_GB2312"/>
          <w:sz w:val="32"/>
        </w:rPr>
        <w:t>2019年度财政拨款收入88.89万元，与上年相比，增加16.59万元，增长22.95%，主要原因是：人员正常职级晋升，补发工资，追加预算。财政拨款支出88.89万元，与上年相比，增加16.59万元，增长22.95%，主要原因是：人员正常职级晋升，补发工资，追加预算。</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财政拨款收入年初预算数100.79万元，决算数88.89万元，预决算差异率-11.81%，主要原因是：厉行节约，减少不必要开支，。财政拨款支出年初预算数100.79万元，决算数88.89万元，预决算差异率-11.81%，主要原因是：厉行节约，减少不必要开支。</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2019年度一般公共预算财政拨款支出88.89万元。按功能分类科目项级科目公开，其中：</w:t>
      </w:r>
    </w:p>
    <w:p>
      <w:pPr>
        <w:ind w:firstLine="480"/>
        <w:jc w:val="both"/>
      </w:pPr>
      <w:r>
        <w:rPr>
          <w:rFonts w:ascii="仿宋_GB2312" w:hAnsi="仿宋_GB2312" w:eastAsia="仿宋_GB2312" w:cs="仿宋_GB2312"/>
          <w:b w:val="0"/>
          <w:sz w:val="32"/>
        </w:rPr>
        <w:t xml:space="preserve">   2080505机关事业单位基本养老保险缴费支出8.10万元；</w:t>
      </w:r>
    </w:p>
    <w:p>
      <w:pPr>
        <w:ind w:firstLine="480"/>
        <w:jc w:val="both"/>
      </w:pPr>
      <w:r>
        <w:rPr>
          <w:rFonts w:ascii="仿宋_GB2312" w:hAnsi="仿宋_GB2312" w:eastAsia="仿宋_GB2312" w:cs="仿宋_GB2312"/>
          <w:b w:val="0"/>
          <w:sz w:val="32"/>
        </w:rPr>
        <w:t xml:space="preserve">   2160201行政运行支出74.88万元；</w:t>
      </w:r>
    </w:p>
    <w:p>
      <w:pPr>
        <w:ind w:firstLine="480"/>
        <w:jc w:val="both"/>
      </w:pPr>
      <w:r>
        <w:rPr>
          <w:rFonts w:ascii="仿宋_GB2312" w:hAnsi="仿宋_GB2312" w:eastAsia="仿宋_GB2312" w:cs="仿宋_GB2312"/>
          <w:b w:val="0"/>
          <w:sz w:val="32"/>
        </w:rPr>
        <w:t xml:space="preserve">   2210201住房公积金支出5.9</w:t>
      </w:r>
      <w:r>
        <w:rPr>
          <w:rFonts w:hint="eastAsia" w:ascii="仿宋_GB2312" w:hAnsi="仿宋_GB2312" w:eastAsia="仿宋_GB2312" w:cs="仿宋_GB2312"/>
          <w:b w:val="0"/>
          <w:sz w:val="32"/>
          <w:lang w:val="en-US" w:eastAsia="zh-CN"/>
        </w:rPr>
        <w:t>1</w:t>
      </w:r>
      <w:r>
        <w:rPr>
          <w:rFonts w:ascii="仿宋_GB2312" w:hAnsi="仿宋_GB2312" w:eastAsia="仿宋_GB2312" w:cs="仿宋_GB2312"/>
          <w:b w:val="0"/>
          <w:sz w:val="32"/>
        </w:rPr>
        <w:t>万元</w:t>
      </w:r>
      <w:bookmarkStart w:id="54" w:name="_GoBack"/>
      <w:bookmarkEnd w:id="54"/>
      <w:r>
        <w:rPr>
          <w:rFonts w:ascii="仿宋_GB2312" w:hAnsi="仿宋_GB2312" w:eastAsia="仿宋_GB2312" w:cs="仿宋_GB2312"/>
          <w:b w:val="0"/>
          <w:sz w:val="32"/>
        </w:rPr>
        <w:t>。</w:t>
      </w:r>
    </w:p>
    <w:p>
      <w:pPr>
        <w:ind w:firstLine="640" w:firstLineChars="200"/>
        <w:outlineLvl w:val="1"/>
        <w:rPr>
          <w:rFonts w:ascii="黑体" w:hAnsi="黑体" w:eastAsia="黑体" w:cs="宋体"/>
          <w:bCs/>
          <w:kern w:val="0"/>
          <w:sz w:val="32"/>
          <w:szCs w:val="32"/>
        </w:rPr>
      </w:pPr>
      <w:bookmarkStart w:id="18" w:name="_Toc11146"/>
      <w:bookmarkStart w:id="19" w:name="_Toc30870"/>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2019年度一般公共预算财政拨款基本支出88.89万元，其中：</w:t>
      </w:r>
    </w:p>
    <w:p>
      <w:pPr>
        <w:ind w:firstLine="640" w:firstLineChars="200"/>
        <w:rPr>
          <w:rFonts w:ascii="仿宋_GB2312" w:eastAsia="仿宋_GB2312"/>
          <w:sz w:val="32"/>
          <w:szCs w:val="32"/>
        </w:rPr>
      </w:pPr>
      <w:r>
        <w:rPr>
          <w:rFonts w:ascii="仿宋_GB2312" w:hAnsi="仿宋_GB2312" w:eastAsia="仿宋_GB2312" w:cs="仿宋_GB2312"/>
          <w:sz w:val="32"/>
        </w:rPr>
        <w:t>人员经费83.89万元，包括：基本工资、津贴补贴、奖金、机关事业单位基本养老保险缴费、职工基本医疗保险缴费、其他社会保障缴费、住房公积金、退休费、生活补助。</w:t>
      </w:r>
    </w:p>
    <w:p>
      <w:pPr>
        <w:ind w:firstLine="640" w:firstLineChars="200"/>
        <w:rPr>
          <w:rFonts w:ascii="仿宋_GB2312" w:eastAsia="仿宋_GB2312"/>
          <w:sz w:val="32"/>
          <w:szCs w:val="32"/>
        </w:rPr>
      </w:pPr>
      <w:r>
        <w:rPr>
          <w:rFonts w:ascii="仿宋_GB2312" w:hAnsi="仿宋_GB2312" w:eastAsia="仿宋_GB2312" w:cs="仿宋_GB2312"/>
          <w:sz w:val="32"/>
        </w:rPr>
        <w:t>公用经费5万元，包括：委托业务费。</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三公”经费支出决算0万元，比上年增加0万元，增长0%，主要原因是与上年相比无变动，与上年一致。其中，因公出国（境）费支出0万元，占0%，比上年增加0万元，增长0%，主要原因是与上年相比无变动，与上年一致；公务用车购置及运行维护费支出0万元，占0%，比上年增加0万元，增长0%，主要原因是与上年相比无变动，与上年一致；公务接待费支出0万元，占0%，比上年增加0万元，增长0%，主要原因是与上年相比无变动，与上年一致。具体情况如下：</w:t>
      </w:r>
    </w:p>
    <w:p>
      <w:pPr>
        <w:ind w:firstLine="640" w:firstLineChars="200"/>
        <w:rPr>
          <w:rFonts w:ascii="仿宋_GB2312" w:eastAsia="仿宋_GB2312"/>
          <w:sz w:val="32"/>
          <w:szCs w:val="32"/>
        </w:rPr>
      </w:pPr>
      <w:r>
        <w:rPr>
          <w:rFonts w:ascii="仿宋_GB2312" w:hAnsi="仿宋_GB2312" w:eastAsia="仿宋_GB2312" w:cs="仿宋_GB2312"/>
          <w:sz w:val="32"/>
        </w:rPr>
        <w:t>因公出国（境）费支出0万元，开支内容包括：预算未安排，无此项开支。单位全年安排的因公出国（境）团组0个，因公出国（境）0人次。</w:t>
      </w:r>
    </w:p>
    <w:p>
      <w:pPr>
        <w:ind w:firstLine="640" w:firstLineChars="200"/>
        <w:rPr>
          <w:rFonts w:ascii="仿宋_GB2312" w:eastAsia="仿宋_GB2312"/>
          <w:sz w:val="32"/>
          <w:szCs w:val="32"/>
        </w:rPr>
      </w:pPr>
      <w:r>
        <w:rPr>
          <w:rFonts w:ascii="仿宋_GB2312" w:hAnsi="仿宋_GB2312" w:eastAsia="仿宋_GB2312" w:cs="仿宋_GB2312"/>
          <w:sz w:val="32"/>
        </w:rPr>
        <w:t>公务用车购置及运行维护费0万元，其中，公务用车购置费0万元，公务用车运行维护费0万元。公务用车运行维护费开支内容包括预算未安排，无此项开支。公务用车购置数0辆，公务用车保有量0辆。</w:t>
      </w:r>
    </w:p>
    <w:p>
      <w:pPr>
        <w:ind w:firstLine="640" w:firstLineChars="200"/>
        <w:rPr>
          <w:rFonts w:ascii="仿宋_GB2312" w:eastAsia="仿宋_GB2312"/>
          <w:sz w:val="32"/>
          <w:szCs w:val="32"/>
        </w:rPr>
      </w:pPr>
      <w:r>
        <w:rPr>
          <w:rFonts w:ascii="仿宋_GB2312" w:hAnsi="仿宋_GB2312" w:eastAsia="仿宋_GB2312" w:cs="仿宋_GB2312"/>
          <w:sz w:val="32"/>
        </w:rPr>
        <w:t>公务接待费0万元，开支内容包括预算未安排，无此项开支。单位全年安排的国内公务接待0批次，0人次。</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一般公共预算“三公”经费支出年初预算数3.12万元，决算数0万元，预决算差异率-100%，主要原因是：本单位无车辆，没有发生相关费用，因此决算数小于预算数。其中：因公出国（境）费预算数0万元，决算数0万元，预决算差异率0%，主要原因是：预算未安排，也无相应支出，因此预决算无差异；公务用车购置费预算数0万元，决算数0万元，预决算差异率0%，主要原因是：预算未安排，也无相应支出，因此预决算无差异；公务用车运行费预算数3.12万元，决算数0万元，预决算差异率-100%，主要原因是：本单位无车辆，没有发生相关费用，因此决算数小于预算数；公务接待费预算数0万元，决算数0万元，预决算差异率0%，主要原因是：预算未安排，也无相应支出，因此预决算无差异。</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hAnsi="仿宋_GB2312" w:eastAsia="仿宋_GB2312" w:cs="仿宋_GB2312"/>
          <w:sz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ascii="仿宋_GB2312" w:hAnsi="仿宋_GB2312" w:eastAsia="仿宋_GB2312" w:cs="仿宋_GB2312"/>
          <w:sz w:val="32"/>
        </w:rPr>
        <w:t>新疆喀什地区麦盖提县供销社日常公用经费5万元，比上年增加0.55万元，增长12.36%，主要原因是下基层开展工作较去年增加，为开展基层工作所需的日常公用经费较去年增加。</w:t>
      </w:r>
    </w:p>
    <w:p>
      <w:pPr>
        <w:ind w:firstLine="640" w:firstLineChars="200"/>
        <w:outlineLvl w:val="2"/>
        <w:rPr>
          <w:rFonts w:ascii="黑体" w:hAnsi="黑体" w:eastAsia="黑体"/>
          <w:sz w:val="32"/>
          <w:szCs w:val="32"/>
        </w:rPr>
      </w:pPr>
      <w:bookmarkStart w:id="28" w:name="_Toc227"/>
      <w:bookmarkStart w:id="29" w:name="_Toc26704"/>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hAnsi="仿宋_GB2312" w:eastAsia="仿宋_GB2312" w:cs="仿宋_GB2312"/>
          <w:sz w:val="32"/>
        </w:rPr>
        <w:t>2019年度政府采购支出总额0万元，其中：政府采购货物支出0万元、政府采购工程支出0万元、政府采购服务支出0万元。</w:t>
      </w:r>
    </w:p>
    <w:p>
      <w:pPr>
        <w:ind w:firstLine="640" w:firstLineChars="200"/>
        <w:rPr>
          <w:rFonts w:ascii="仿宋_GB2312" w:eastAsia="仿宋_GB2312"/>
          <w:sz w:val="32"/>
          <w:szCs w:val="32"/>
        </w:rPr>
      </w:pPr>
      <w:r>
        <w:rPr>
          <w:rFonts w:ascii="仿宋_GB2312" w:hAnsi="仿宋_GB2312" w:eastAsia="仿宋_GB2312" w:cs="仿宋_GB2312"/>
          <w:sz w:val="32"/>
        </w:rPr>
        <w:t>授予中小企业合同金额0万元，占政府采购支出总额的0%，其中：授予小微企业合同金额0万元，占政府采购支出总额的0%。</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ascii="仿宋_GB2312" w:hAnsi="仿宋_GB2312" w:eastAsia="仿宋_GB2312" w:cs="仿宋_GB2312"/>
          <w:sz w:val="32"/>
        </w:rPr>
        <w:t>截止2019年12月31日，单位共有房屋0（平方米），价值0万元。车辆0辆，价值0万元，其中：副部（省）级及以上领导用车0辆、主要领导干部用车0辆、机要通信用车0辆、应急保障用车0辆、执法执勤用车0辆、特种专业技术用车0辆、离退休干部用车0辆、其他用车0辆，其他用车主要是：本单位无车辆；单位价值50万元以上通用设备0台（套）、单位价值100万元以上专用设备0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十、预算绩效的情况说明</w:t>
      </w:r>
      <w:bookmarkEnd w:id="32"/>
      <w:bookmarkEnd w:id="33"/>
    </w:p>
    <w:p>
      <w:pPr>
        <w:ind w:firstLine="640" w:firstLineChars="200"/>
        <w:rPr>
          <w:rFonts w:ascii="仿宋_GB2312" w:eastAsia="仿宋_GB2312"/>
          <w:sz w:val="32"/>
          <w:szCs w:val="32"/>
          <w:lang w:val="en-US"/>
        </w:rPr>
      </w:pPr>
      <w:bookmarkStart w:id="34" w:name="_Toc24143"/>
      <w:bookmarkStart w:id="35" w:name="_Toc3250"/>
      <w:r>
        <w:rPr>
          <w:rFonts w:hint="eastAsia" w:ascii="仿宋_GB2312" w:hAnsi="仿宋_GB2312" w:eastAsia="仿宋_GB2312" w:cs="仿宋_GB2312"/>
          <w:sz w:val="32"/>
          <w:lang w:val="en-US" w:eastAsia="zh-CN"/>
        </w:rPr>
        <w:t>根据预算绩效管理要求，我单位2019年度开展预算绩效评价项目0个，共涉及资金0万元。预算绩效管理取得的成效：无。发现的问题及原因：无。下一步改进措施：无。本单位无有关预算绩效管理和绩效自评开展情况。</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8903"/>
      <w:bookmarkStart w:id="37" w:name="_Toc22784"/>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AencV45wEAALYD&#10;AAAOAAAAAAAAAAEAIAAAAB4BAABkcnMvZTJvRG9jLnhtbFBLBQYAAAAABgAGAFkBAAB3BQ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dit="comment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A053397"/>
    <w:rsid w:val="2D1136DF"/>
    <w:rsid w:val="2E96356F"/>
    <w:rsid w:val="31C63837"/>
    <w:rsid w:val="3D5275AC"/>
    <w:rsid w:val="46901EEE"/>
    <w:rsid w:val="469C74D2"/>
    <w:rsid w:val="50DB5F45"/>
    <w:rsid w:val="587A3243"/>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uiPriority w:val="0"/>
    <w:pPr>
      <w:ind w:left="420" w:leftChars="200"/>
    </w:pPr>
  </w:style>
  <w:style w:type="paragraph" w:customStyle="1" w:styleId="10">
    <w:name w:val="WPSOffice手动目录 3"/>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1031</Words>
  <Characters>5881</Characters>
  <Lines>49</Lines>
  <Paragraphs>13</Paragraphs>
  <TotalTime>6</TotalTime>
  <ScaleCrop>false</ScaleCrop>
  <LinksUpToDate>false</LinksUpToDate>
  <CharactersWithSpaces>6899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2020-09-08T14:04:00Z</dcterms:created>
  <dc:creator>GXR</dc:creator>
  <cp:lastModifiedBy>Administrator</cp:lastModifiedBy>
  <dcterms:modified xsi:type="dcterms:W3CDTF">2020-11-20T08:12:44Z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