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cs="宋体"/>
          <w:kern w:val="0"/>
          <w:sz w:val="28"/>
          <w:szCs w:val="28"/>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hint="eastAsia" w:ascii="仿宋" w:hAnsi="仿宋" w:eastAsia="仿宋" w:cs="宋体"/>
          <w:kern w:val="0"/>
          <w:sz w:val="32"/>
          <w:szCs w:val="32"/>
        </w:rPr>
      </w:pPr>
    </w:p>
    <w:p>
      <w:pPr>
        <w:spacing w:line="540" w:lineRule="exact"/>
        <w:jc w:val="center"/>
        <w:outlineLvl w:val="0"/>
        <w:rPr>
          <w:rFonts w:hAnsi="宋体" w:eastAsia="仿宋_GB2312" w:cs="宋体"/>
          <w:kern w:val="0"/>
          <w:sz w:val="36"/>
          <w:szCs w:val="36"/>
        </w:rPr>
      </w:pPr>
      <w:r>
        <w:rPr>
          <w:rFonts w:hint="eastAsia" w:hAnsi="宋体" w:eastAsia="仿宋_GB2312" w:cs="宋体"/>
          <w:kern w:val="0"/>
          <w:sz w:val="36"/>
          <w:szCs w:val="36"/>
        </w:rPr>
        <w:t>（2019年度）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ind w:left="0" w:hanging="720" w:hangingChars="200"/>
        <w:jc w:val="left"/>
        <w:textAlignment w:val="auto"/>
        <w:outlineLvl w:val="0"/>
        <w:rPr>
          <w:rFonts w:hint="eastAsia" w:ascii="仿宋" w:hAnsi="仿宋" w:eastAsia="仿宋" w:cs="仿宋"/>
          <w:kern w:val="0"/>
          <w:sz w:val="32"/>
          <w:szCs w:val="32"/>
        </w:rPr>
      </w:pPr>
      <w:r>
        <w:rPr>
          <w:rFonts w:hint="eastAsia" w:hAnsi="宋体" w:eastAsia="仿宋_GB2312" w:cs="宋体"/>
          <w:kern w:val="0"/>
          <w:sz w:val="36"/>
          <w:szCs w:val="36"/>
        </w:rPr>
        <w:t xml:space="preserve">    </w:t>
      </w:r>
      <w:r>
        <w:rPr>
          <w:rFonts w:hint="eastAsia" w:ascii="仿宋" w:hAnsi="仿宋" w:eastAsia="仿宋" w:cs="仿宋"/>
          <w:kern w:val="0"/>
          <w:sz w:val="32"/>
          <w:szCs w:val="32"/>
        </w:rPr>
        <w:t xml:space="preserve">项目名称：村组或巷道道路建设项目     </w:t>
      </w:r>
    </w:p>
    <w:p>
      <w:pPr>
        <w:keepNext w:val="0"/>
        <w:keepLines w:val="0"/>
        <w:pageBreakBefore w:val="0"/>
        <w:widowControl w:val="0"/>
        <w:kinsoku/>
        <w:wordWrap/>
        <w:overflowPunct/>
        <w:topLinePunct w:val="0"/>
        <w:autoSpaceDE/>
        <w:autoSpaceDN/>
        <w:bidi w:val="0"/>
        <w:adjustRightInd/>
        <w:snapToGrid/>
        <w:spacing w:line="700" w:lineRule="exact"/>
        <w:ind w:left="0" w:firstLine="640" w:firstLineChars="200"/>
        <w:jc w:val="left"/>
        <w:textAlignment w:val="auto"/>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实施单位（公章）：麦盖提县交通局</w:t>
      </w:r>
      <w:r>
        <w:rPr>
          <w:rFonts w:hint="eastAsia" w:ascii="仿宋" w:hAnsi="仿宋" w:eastAsia="仿宋" w:cs="仿宋"/>
          <w:kern w:val="0"/>
          <w:sz w:val="32"/>
          <w:szCs w:val="32"/>
          <w:lang w:val="en-US" w:eastAsia="zh-CN"/>
        </w:rPr>
        <w:t>本级</w:t>
      </w:r>
    </w:p>
    <w:p>
      <w:pPr>
        <w:keepNext w:val="0"/>
        <w:keepLines w:val="0"/>
        <w:pageBreakBefore w:val="0"/>
        <w:widowControl w:val="0"/>
        <w:kinsoku/>
        <w:wordWrap/>
        <w:overflowPunct/>
        <w:topLinePunct w:val="0"/>
        <w:autoSpaceDE/>
        <w:autoSpaceDN/>
        <w:bidi w:val="0"/>
        <w:adjustRightInd/>
        <w:snapToGrid/>
        <w:spacing w:line="700" w:lineRule="exact"/>
        <w:ind w:left="0" w:firstLine="755" w:firstLineChars="236"/>
        <w:jc w:val="left"/>
        <w:textAlignment w:val="auto"/>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主管部门（公章）：麦盖提县</w:t>
      </w:r>
      <w:r>
        <w:rPr>
          <w:rFonts w:hint="eastAsia" w:ascii="仿宋" w:hAnsi="仿宋" w:eastAsia="仿宋" w:cs="仿宋"/>
          <w:kern w:val="0"/>
          <w:sz w:val="32"/>
          <w:szCs w:val="32"/>
          <w:lang w:val="en-US" w:eastAsia="zh-CN"/>
        </w:rPr>
        <w:t>交通局</w:t>
      </w:r>
    </w:p>
    <w:p>
      <w:pPr>
        <w:keepNext w:val="0"/>
        <w:keepLines w:val="0"/>
        <w:pageBreakBefore w:val="0"/>
        <w:widowControl w:val="0"/>
        <w:kinsoku/>
        <w:wordWrap/>
        <w:overflowPunct/>
        <w:topLinePunct w:val="0"/>
        <w:autoSpaceDE/>
        <w:autoSpaceDN/>
        <w:bidi w:val="0"/>
        <w:adjustRightInd/>
        <w:snapToGrid/>
        <w:spacing w:line="700" w:lineRule="exact"/>
        <w:ind w:left="0" w:firstLine="755" w:firstLineChars="236"/>
        <w:jc w:val="left"/>
        <w:textAlignment w:val="auto"/>
        <w:outlineLvl w:val="0"/>
        <w:rPr>
          <w:rFonts w:hint="eastAsia" w:ascii="仿宋" w:hAnsi="仿宋" w:eastAsia="仿宋" w:cs="仿宋"/>
          <w:kern w:val="0"/>
          <w:sz w:val="32"/>
          <w:szCs w:val="32"/>
        </w:rPr>
      </w:pPr>
      <w:r>
        <w:rPr>
          <w:rFonts w:hint="eastAsia" w:ascii="仿宋" w:hAnsi="仿宋" w:eastAsia="仿宋" w:cs="仿宋"/>
          <w:kern w:val="0"/>
          <w:sz w:val="32"/>
          <w:szCs w:val="32"/>
        </w:rPr>
        <w:t>项目负责人（签章）：周斌</w:t>
      </w:r>
    </w:p>
    <w:p>
      <w:pPr>
        <w:keepNext w:val="0"/>
        <w:keepLines w:val="0"/>
        <w:pageBreakBefore w:val="0"/>
        <w:widowControl w:val="0"/>
        <w:kinsoku/>
        <w:wordWrap/>
        <w:overflowPunct/>
        <w:topLinePunct w:val="0"/>
        <w:autoSpaceDE/>
        <w:autoSpaceDN/>
        <w:bidi w:val="0"/>
        <w:adjustRightInd/>
        <w:snapToGrid/>
        <w:spacing w:line="700" w:lineRule="exact"/>
        <w:ind w:left="0" w:firstLine="755" w:firstLineChars="236"/>
        <w:jc w:val="left"/>
        <w:textAlignment w:val="auto"/>
        <w:outlineLvl w:val="0"/>
        <w:rPr>
          <w:rFonts w:hint="eastAsia" w:ascii="仿宋" w:hAnsi="仿宋" w:eastAsia="仿宋" w:cs="仿宋"/>
          <w:kern w:val="0"/>
          <w:sz w:val="32"/>
          <w:szCs w:val="32"/>
        </w:rPr>
      </w:pPr>
      <w:r>
        <w:rPr>
          <w:rFonts w:hint="eastAsia" w:ascii="仿宋" w:hAnsi="仿宋" w:eastAsia="仿宋" w:cs="仿宋"/>
          <w:kern w:val="0"/>
          <w:sz w:val="32"/>
          <w:szCs w:val="32"/>
        </w:rPr>
        <w:t xml:space="preserve">填报时间：2019年 </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rPr>
        <w:t>日</w:t>
      </w:r>
    </w:p>
    <w:p>
      <w:pPr>
        <w:spacing w:line="540" w:lineRule="exact"/>
        <w:jc w:val="center"/>
        <w:rPr>
          <w:rFonts w:hAnsi="宋体" w:eastAsia="仿宋_GB2312" w:cs="宋体"/>
          <w:kern w:val="0"/>
          <w:sz w:val="30"/>
          <w:szCs w:val="30"/>
        </w:rPr>
      </w:pPr>
    </w:p>
    <w:p>
      <w:pPr>
        <w:spacing w:line="600" w:lineRule="exact"/>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Style w:val="18"/>
          <w:rFonts w:ascii="黑体" w:hAnsi="黑体" w:eastAsia="黑体"/>
          <w:b w:val="0"/>
          <w:spacing w:val="-4"/>
          <w:sz w:val="32"/>
          <w:szCs w:val="32"/>
        </w:rPr>
      </w:pPr>
      <w:r>
        <w:rPr>
          <w:rFonts w:hint="eastAsia" w:ascii="黑体" w:hAnsi="黑体" w:eastAsia="黑体" w:cs="仿宋"/>
          <w:b/>
          <w:bCs/>
          <w:color w:val="0C0C0C"/>
          <w:sz w:val="32"/>
          <w:szCs w:val="32"/>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w:t>
      </w:r>
      <w:r>
        <w:rPr>
          <w:rStyle w:val="18"/>
          <w:rFonts w:hint="eastAsia" w:ascii="楷体_GB2312" w:hAnsi="楷体" w:eastAsia="楷体_GB2312"/>
          <w:spacing w:val="-4"/>
          <w:sz w:val="32"/>
          <w:szCs w:val="32"/>
          <w:lang w:eastAsia="zh-CN"/>
        </w:rPr>
        <w:t>主管</w:t>
      </w:r>
      <w:r>
        <w:rPr>
          <w:rStyle w:val="18"/>
          <w:rFonts w:hint="eastAsia" w:ascii="楷体_GB2312" w:hAnsi="楷体" w:eastAsia="楷体_GB2312"/>
          <w:spacing w:val="-4"/>
          <w:sz w:val="32"/>
          <w:szCs w:val="32"/>
        </w:rPr>
        <w:t>单位基本情况</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麦盖提县交通运输局的主要职能包括：拟订全县公路交通运输发展规划并监督实施。会同有关部门组织编制全县综合交通运输体系规划，承担全县公路运输枢纽总体规划。会同有关部门参与拟订全县交通物流业发展战略与规划。指导、监督全县范围内的县、乡、村公路以及专用公路的建设、管理和养护工作；指导农村公路路政工作。指导全县交通运输市场和交通基础设施建设市场发展，建立完善信息、服务、信用评价考核体系。会同有关部门拟订交通运输行业价格。</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麦盖提县交通运输局是财政全额拨款的行政单位，编制总数17人，行政编制5人，参公编制8人，事业编制3人，工勤编制1人，实有在职人数16人</w:t>
      </w:r>
      <w:r>
        <w:rPr>
          <w:rStyle w:val="18"/>
          <w:rFonts w:hint="eastAsia" w:ascii="仿宋" w:hAnsi="仿宋" w:eastAsia="仿宋" w:cs="仿宋"/>
          <w:b w:val="0"/>
          <w:spacing w:val="-4"/>
          <w:sz w:val="32"/>
          <w:szCs w:val="32"/>
          <w:lang w:val="en-US" w:eastAsia="zh-CN"/>
        </w:rPr>
        <w:t>,</w:t>
      </w:r>
      <w:r>
        <w:rPr>
          <w:rStyle w:val="18"/>
          <w:rFonts w:hint="eastAsia" w:ascii="仿宋" w:hAnsi="仿宋" w:eastAsia="仿宋" w:cs="仿宋"/>
          <w:b w:val="0"/>
          <w:spacing w:val="-4"/>
          <w:sz w:val="32"/>
          <w:szCs w:val="32"/>
        </w:rPr>
        <w:t>退休5人，内设机构3个：麦盖提县农村公路建设管理养护所、麦盖提县路政稽查大队、麦盖提县城市客运出租汽车管理办公室。</w:t>
      </w:r>
    </w:p>
    <w:p>
      <w:pPr>
        <w:keepLines w:val="0"/>
        <w:pageBreakBefore w:val="0"/>
        <w:kinsoku/>
        <w:wordWrap/>
        <w:overflowPunct/>
        <w:topLinePunct w:val="0"/>
        <w:autoSpaceDE/>
        <w:autoSpaceDN/>
        <w:bidi w:val="0"/>
        <w:spacing w:line="560" w:lineRule="exact"/>
        <w:ind w:firstLine="627" w:firstLineChars="200"/>
        <w:textAlignment w:val="auto"/>
        <w:rPr>
          <w:rStyle w:val="18"/>
          <w:rFonts w:hint="default" w:ascii="仿宋" w:hAnsi="仿宋" w:eastAsia="仿宋" w:cs="仿宋"/>
          <w:b w:val="0"/>
          <w:spacing w:val="-4"/>
          <w:kern w:val="2"/>
          <w:sz w:val="32"/>
          <w:szCs w:val="32"/>
          <w:lang w:val="en-US" w:eastAsia="zh-CN" w:bidi="ar-SA"/>
        </w:rPr>
      </w:pPr>
      <w:r>
        <w:rPr>
          <w:rStyle w:val="18"/>
          <w:rFonts w:hint="eastAsia" w:ascii="楷体_GB2312" w:hAnsi="楷体" w:eastAsia="楷体_GB2312"/>
          <w:spacing w:val="-4"/>
          <w:sz w:val="32"/>
          <w:szCs w:val="32"/>
          <w:lang w:val="en-US" w:eastAsia="zh-CN"/>
        </w:rPr>
        <w:t>（二）项目简介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outlineLvl w:val="9"/>
        <w:rPr>
          <w:rStyle w:val="18"/>
          <w:rFonts w:hint="default" w:ascii="仿宋" w:hAnsi="仿宋" w:eastAsia="仿宋" w:cs="仿宋"/>
          <w:b w:val="0"/>
          <w:spacing w:val="-4"/>
          <w:kern w:val="2"/>
          <w:sz w:val="32"/>
          <w:szCs w:val="32"/>
          <w:lang w:val="en-US" w:eastAsia="zh-CN" w:bidi="ar-SA"/>
        </w:rPr>
      </w:pPr>
      <w:r>
        <w:rPr>
          <w:rStyle w:val="18"/>
          <w:rFonts w:hint="default" w:ascii="仿宋" w:hAnsi="仿宋" w:eastAsia="仿宋" w:cs="仿宋"/>
          <w:b w:val="0"/>
          <w:spacing w:val="-4"/>
          <w:kern w:val="2"/>
          <w:sz w:val="32"/>
          <w:szCs w:val="32"/>
          <w:lang w:val="en-US" w:eastAsia="zh-CN" w:bidi="ar-SA"/>
        </w:rPr>
        <w:t>1</w:t>
      </w:r>
      <w:r>
        <w:rPr>
          <w:rStyle w:val="18"/>
          <w:rFonts w:hint="eastAsia" w:ascii="仿宋" w:hAnsi="仿宋" w:eastAsia="仿宋" w:cs="仿宋"/>
          <w:b w:val="0"/>
          <w:spacing w:val="-4"/>
          <w:kern w:val="2"/>
          <w:sz w:val="32"/>
          <w:szCs w:val="32"/>
          <w:lang w:val="en-US" w:eastAsia="zh-CN" w:bidi="ar-SA"/>
        </w:rPr>
        <w:t>.</w:t>
      </w:r>
      <w:r>
        <w:rPr>
          <w:rStyle w:val="18"/>
          <w:rFonts w:hint="default" w:ascii="仿宋" w:hAnsi="仿宋" w:eastAsia="仿宋" w:cs="仿宋"/>
          <w:b w:val="0"/>
          <w:spacing w:val="-4"/>
          <w:kern w:val="2"/>
          <w:sz w:val="32"/>
          <w:szCs w:val="32"/>
          <w:lang w:val="en-US" w:eastAsia="zh-CN" w:bidi="ar-SA"/>
        </w:rPr>
        <w:t>在巴扎结米镇、尕孜库勒乡、库尔玛乡、吐曼塔勒乡、库木库萨尔乡、希依提墩乡、克孜勒阿瓦提乡、</w:t>
      </w:r>
      <w:r>
        <w:rPr>
          <w:rStyle w:val="18"/>
          <w:rFonts w:hint="eastAsia" w:ascii="仿宋" w:hAnsi="仿宋" w:eastAsia="仿宋" w:cs="仿宋"/>
          <w:b w:val="0"/>
          <w:spacing w:val="-4"/>
          <w:kern w:val="2"/>
          <w:sz w:val="32"/>
          <w:szCs w:val="32"/>
          <w:lang w:val="en-US" w:eastAsia="zh-CN" w:bidi="ar-SA"/>
        </w:rPr>
        <w:t>央</w:t>
      </w:r>
      <w:r>
        <w:rPr>
          <w:rStyle w:val="18"/>
          <w:rFonts w:hint="default" w:ascii="仿宋" w:hAnsi="仿宋" w:eastAsia="仿宋" w:cs="仿宋"/>
          <w:b w:val="0"/>
          <w:spacing w:val="-4"/>
          <w:kern w:val="2"/>
          <w:sz w:val="32"/>
          <w:szCs w:val="32"/>
          <w:lang w:val="en-US" w:eastAsia="zh-CN" w:bidi="ar-SA"/>
        </w:rPr>
        <w:t>塔克乡新建四级公路211.292公里</w:t>
      </w:r>
      <w:r>
        <w:rPr>
          <w:rStyle w:val="18"/>
          <w:rFonts w:hint="eastAsia" w:ascii="仿宋" w:hAnsi="仿宋" w:eastAsia="仿宋" w:cs="仿宋"/>
          <w:b w:val="0"/>
          <w:spacing w:val="-4"/>
          <w:kern w:val="2"/>
          <w:sz w:val="32"/>
          <w:szCs w:val="32"/>
          <w:lang w:val="en-US" w:eastAsia="zh-CN" w:bidi="ar-SA"/>
        </w:rPr>
        <w:t>。</w:t>
      </w:r>
    </w:p>
    <w:p>
      <w:pPr>
        <w:pStyle w:val="2"/>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24" w:firstLineChars="200"/>
        <w:textAlignment w:val="auto"/>
        <w:outlineLvl w:val="2"/>
        <w:rPr>
          <w:rStyle w:val="18"/>
          <w:rFonts w:hint="default" w:ascii="仿宋" w:hAnsi="仿宋" w:eastAsia="仿宋" w:cs="仿宋"/>
          <w:b w:val="0"/>
          <w:bCs/>
          <w:spacing w:val="-4"/>
          <w:kern w:val="2"/>
          <w:sz w:val="32"/>
          <w:szCs w:val="32"/>
          <w:lang w:val="en-US" w:eastAsia="zh-CN" w:bidi="ar-SA"/>
        </w:rPr>
      </w:pPr>
      <w:r>
        <w:rPr>
          <w:rStyle w:val="18"/>
          <w:rFonts w:hint="default" w:ascii="仿宋" w:hAnsi="仿宋" w:eastAsia="仿宋" w:cs="仿宋"/>
          <w:b w:val="0"/>
          <w:bCs/>
          <w:spacing w:val="-4"/>
          <w:kern w:val="2"/>
          <w:sz w:val="32"/>
          <w:szCs w:val="32"/>
          <w:lang w:val="en-US" w:eastAsia="zh-CN" w:bidi="ar-SA"/>
        </w:rPr>
        <w:t>2</w:t>
      </w:r>
      <w:r>
        <w:rPr>
          <w:rStyle w:val="18"/>
          <w:rFonts w:hint="eastAsia" w:ascii="仿宋" w:hAnsi="仿宋" w:eastAsia="仿宋" w:cs="仿宋"/>
          <w:b w:val="0"/>
          <w:bCs/>
          <w:spacing w:val="-4"/>
          <w:kern w:val="2"/>
          <w:sz w:val="32"/>
          <w:szCs w:val="32"/>
          <w:lang w:val="en-US" w:eastAsia="zh-CN" w:bidi="ar-SA"/>
        </w:rPr>
        <w:t>.</w:t>
      </w:r>
      <w:r>
        <w:rPr>
          <w:rStyle w:val="18"/>
          <w:rFonts w:hint="default" w:ascii="仿宋" w:hAnsi="仿宋" w:eastAsia="仿宋" w:cs="仿宋"/>
          <w:b w:val="0"/>
          <w:bCs/>
          <w:spacing w:val="-4"/>
          <w:kern w:val="2"/>
          <w:sz w:val="32"/>
          <w:szCs w:val="32"/>
          <w:lang w:val="en-US" w:eastAsia="zh-CN" w:bidi="ar-SA"/>
        </w:rPr>
        <w:t>公路是经济发展的动脉，加快农村公路网络的建设对带动贫困村经济发展，提高贫困户生活水平有重要作用。</w:t>
      </w:r>
    </w:p>
    <w:p>
      <w:pPr>
        <w:keepLines w:val="0"/>
        <w:pageBreakBefore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lang w:val="en-US" w:eastAsia="zh-CN"/>
        </w:rPr>
        <w:t>（三）项目</w:t>
      </w:r>
      <w:r>
        <w:rPr>
          <w:rStyle w:val="18"/>
          <w:rFonts w:hint="eastAsia" w:ascii="楷体_GB2312" w:hAnsi="楷体" w:eastAsia="楷体_GB2312"/>
          <w:spacing w:val="-4"/>
          <w:sz w:val="32"/>
          <w:szCs w:val="32"/>
        </w:rPr>
        <w:t>绩效目标设定情况</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根据《关于第一批涉农整合资金用于村组或巷道道路建设项目的启动通知书》（麦扶财字[2019]79号）、《关于第二批涉农整合资金用于村组或巷道道路建设项目的启动通知书》（麦扶财字[2019]127号）、《关于第四批涉农整合资金用于村组或巷道道路建设项目的启动通知书》（麦扶财字[2019]143号）、《关于2018年涉农整合结余资金用于村组或巷道道路建设项目的启动通知书》（麦扶财字[2019]147号）、《关于第五批涉农整合资金用于村组或巷道道路建设项目的启动通知书》（麦扶财字[2019]150号）、《关于2018年涉农整合结余资金用于村组或巷道道路建设项目的启动通知书》（麦扶财字[2019]152号）、《关于第六批涉农整合资金用于村组或巷道道路建设项目的启动通知书》（麦扶财字[2019]163号）的文件，本项目下达财政扶贫补助预算资金11660万元。</w:t>
      </w:r>
    </w:p>
    <w:p>
      <w:pPr>
        <w:keepLines w:val="0"/>
        <w:pageBreakBefore w:val="0"/>
        <w:kinsoku/>
        <w:wordWrap/>
        <w:overflowPunct/>
        <w:topLinePunct w:val="0"/>
        <w:autoSpaceDE/>
        <w:autoSpaceDN/>
        <w:bidi w:val="0"/>
        <w:spacing w:line="560" w:lineRule="exact"/>
        <w:ind w:firstLine="624" w:firstLineChars="200"/>
        <w:textAlignment w:val="auto"/>
        <w:rPr>
          <w:rFonts w:hint="eastAsia" w:ascii="仿宋" w:hAnsi="仿宋" w:eastAsia="仿宋" w:cs="仿宋"/>
          <w:sz w:val="32"/>
          <w:szCs w:val="32"/>
        </w:rPr>
      </w:pPr>
      <w:r>
        <w:rPr>
          <w:rStyle w:val="18"/>
          <w:rFonts w:hint="eastAsia" w:ascii="仿宋" w:hAnsi="仿宋" w:eastAsia="仿宋" w:cs="仿宋"/>
          <w:b w:val="0"/>
          <w:spacing w:val="-4"/>
          <w:sz w:val="32"/>
          <w:szCs w:val="32"/>
        </w:rPr>
        <w:t>项目绩效目标情况:</w:t>
      </w:r>
      <w:r>
        <w:rPr>
          <w:rFonts w:hint="eastAsia" w:ascii="仿宋" w:hAnsi="仿宋" w:eastAsia="仿宋" w:cs="仿宋"/>
          <w:bCs/>
          <w:spacing w:val="-4"/>
          <w:sz w:val="32"/>
          <w:szCs w:val="32"/>
        </w:rPr>
        <w:t>新建农村公路建设项目211.292公里，共涉及8个乡，路面宽3.0、3.5、4.0、4.5m，路基宽3.5、4.0、4.5、5.0m，公路等级为四级，建设内容：路基工程、路面工程、桥涵工程及交通安全设施，项目建成后将极大改善沿线农民出行条件，为麦盖提县经济快速发展打下良好的基础，对于提高沿线乡镇居民出行，加快城乡</w:t>
      </w:r>
      <w:bookmarkStart w:id="0" w:name="_GoBack"/>
      <w:bookmarkEnd w:id="0"/>
      <w:r>
        <w:rPr>
          <w:rFonts w:hint="eastAsia" w:ascii="仿宋" w:hAnsi="仿宋" w:eastAsia="仿宋" w:cs="仿宋"/>
          <w:bCs/>
          <w:spacing w:val="-4"/>
          <w:sz w:val="32"/>
          <w:szCs w:val="32"/>
          <w:lang w:eastAsia="zh-CN"/>
        </w:rPr>
        <w:t>整体化</w:t>
      </w:r>
      <w:r>
        <w:rPr>
          <w:rFonts w:hint="eastAsia" w:ascii="仿宋" w:hAnsi="仿宋" w:eastAsia="仿宋" w:cs="仿宋"/>
          <w:bCs/>
          <w:spacing w:val="-4"/>
          <w:sz w:val="32"/>
          <w:szCs w:val="32"/>
        </w:rPr>
        <w:t>建设、带动附近乡镇经济发展、逐步缩小城乡差距具有非常重要的作用。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仿宋"/>
          <w:b w:val="0"/>
          <w:bCs w:val="0"/>
          <w:color w:val="0C0C0C"/>
          <w:sz w:val="32"/>
          <w:szCs w:val="32"/>
          <w:lang w:val="en-US" w:eastAsia="zh-CN"/>
        </w:rPr>
      </w:pPr>
      <w:r>
        <w:rPr>
          <w:rFonts w:hint="eastAsia" w:ascii="黑体" w:hAnsi="黑体" w:eastAsia="黑体" w:cs="仿宋"/>
          <w:b w:val="0"/>
          <w:bCs w:val="0"/>
          <w:color w:val="0C0C0C"/>
          <w:sz w:val="32"/>
          <w:szCs w:val="32"/>
          <w:lang w:val="en-US" w:eastAsia="zh-CN"/>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Lines w:val="0"/>
        <w:pageBreakBefore w:val="0"/>
        <w:kinsoku/>
        <w:wordWrap/>
        <w:overflowPunct/>
        <w:topLinePunct w:val="0"/>
        <w:autoSpaceDE/>
        <w:autoSpaceDN/>
        <w:bidi w:val="0"/>
        <w:spacing w:line="560" w:lineRule="exact"/>
        <w:ind w:firstLine="624" w:firstLineChars="200"/>
        <w:textAlignment w:val="auto"/>
        <w:rPr>
          <w:rFonts w:hint="eastAsia" w:ascii="仿宋" w:hAnsi="仿宋" w:eastAsia="仿宋" w:cs="仿宋"/>
          <w:sz w:val="32"/>
          <w:szCs w:val="32"/>
        </w:rPr>
      </w:pPr>
      <w:r>
        <w:rPr>
          <w:rStyle w:val="18"/>
          <w:rFonts w:hint="eastAsia" w:ascii="仿宋" w:hAnsi="仿宋" w:eastAsia="仿宋" w:cs="仿宋"/>
          <w:b w:val="0"/>
          <w:spacing w:val="-4"/>
          <w:sz w:val="32"/>
          <w:szCs w:val="32"/>
        </w:rPr>
        <w:t>根据《关于第一批涉农整合资金用于村组或巷道道路建设项目的启动通知书》（麦扶财字[2019]79号）、《关于第二批涉农整合资金用于村组或巷道道路建设项目的启动通知书》（麦扶财字[2019]127号）、《关于第四批涉农整合资金用于村组或巷道道路建设项目的启动通知书》（麦扶财字[2019]143号）、《关于2018年涉农整合结余资金用于村组或巷道道路建设项目的启动通知书》（麦扶财字[2019]147号）、《关于第五批涉农整合资金用于村组或巷道道路建设项目的启动通知书》（麦扶财字[2019]150号）、《关于2018年涉农整合结余资金用于村组或巷道道路建设项目的启动通知书》（麦扶财字[2019]152号）、《关于第六批涉农整合资金用于村组或巷道道路建设项目的启动通知书》（麦扶财字[2019]163号）的文件，</w:t>
      </w:r>
      <w:r>
        <w:rPr>
          <w:rFonts w:hint="eastAsia" w:ascii="仿宋" w:hAnsi="仿宋" w:eastAsia="仿宋" w:cs="仿宋"/>
          <w:color w:val="0C0C0C"/>
          <w:sz w:val="32"/>
          <w:szCs w:val="32"/>
        </w:rPr>
        <w:t>本项目预算资金11660万元，其中财政资金11660万元，自筹资金0万元，资金到位10558.47万元；资金到位率90.55%。</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bCs/>
          <w:spacing w:val="-4"/>
          <w:kern w:val="2"/>
          <w:sz w:val="32"/>
          <w:szCs w:val="32"/>
        </w:rPr>
      </w:pPr>
      <w:r>
        <w:rPr>
          <w:rStyle w:val="18"/>
          <w:rFonts w:hint="eastAsia" w:ascii="仿宋" w:hAnsi="仿宋" w:eastAsia="仿宋" w:cs="仿宋"/>
          <w:b w:val="0"/>
          <w:bCs/>
          <w:spacing w:val="-4"/>
          <w:kern w:val="2"/>
          <w:sz w:val="32"/>
          <w:szCs w:val="32"/>
        </w:rPr>
        <w:t>本项目预算资金11660万元，到位资金10558.47万元，项目实行中进行公开招标，本项目共分17个标段，工程招标总金额为10411.53万元，经审计决算后实际支付工程款10211.56万元，支付评审费26.4万元，监理费131.79万元，设计费120.82万元，审计费40.66万元，共计支出10531.23万元，其中2018年涉农整合结余资金支出410.39万元，2019年预算资金支出10120.84万元，结余27.24万元。</w:t>
      </w:r>
      <w:r>
        <w:rPr>
          <w:rStyle w:val="18"/>
          <w:rFonts w:hint="eastAsia" w:ascii="仿宋" w:hAnsi="仿宋" w:eastAsia="仿宋" w:cs="仿宋"/>
          <w:b w:val="0"/>
          <w:bCs/>
          <w:spacing w:val="-4"/>
          <w:kern w:val="2"/>
          <w:sz w:val="32"/>
          <w:szCs w:val="32"/>
          <w:lang w:val="en-US" w:eastAsia="zh-CN"/>
        </w:rPr>
        <w:t>已上缴财政，进行整合后，</w:t>
      </w:r>
      <w:r>
        <w:rPr>
          <w:rFonts w:hint="eastAsia" w:ascii="仿宋" w:hAnsi="仿宋" w:eastAsia="仿宋" w:cs="仿宋"/>
          <w:b w:val="0"/>
          <w:bCs/>
          <w:color w:val="0C0C0C"/>
          <w:sz w:val="32"/>
          <w:szCs w:val="32"/>
          <w:lang w:val="en-US" w:eastAsia="zh-CN"/>
        </w:rPr>
        <w:t>该项目全年预算数为</w:t>
      </w:r>
      <w:r>
        <w:rPr>
          <w:rFonts w:hint="eastAsia" w:ascii="仿宋" w:hAnsi="仿宋" w:eastAsia="仿宋" w:cs="仿宋"/>
          <w:b w:val="0"/>
          <w:bCs/>
          <w:color w:val="0C0C0C"/>
          <w:sz w:val="32"/>
          <w:szCs w:val="32"/>
        </w:rPr>
        <w:t>10531.23</w:t>
      </w:r>
      <w:r>
        <w:rPr>
          <w:rFonts w:hint="eastAsia" w:ascii="仿宋" w:hAnsi="仿宋" w:eastAsia="仿宋" w:cs="仿宋"/>
          <w:b w:val="0"/>
          <w:bCs/>
          <w:color w:val="0C0C0C"/>
          <w:sz w:val="32"/>
          <w:szCs w:val="32"/>
          <w:lang w:val="en-US" w:eastAsia="zh-CN"/>
        </w:rPr>
        <w:t>万元，</w:t>
      </w:r>
      <w:r>
        <w:rPr>
          <w:rFonts w:hint="eastAsia" w:ascii="仿宋" w:hAnsi="仿宋" w:eastAsia="仿宋" w:cs="仿宋"/>
          <w:b w:val="0"/>
          <w:bCs/>
          <w:color w:val="0C0C0C"/>
          <w:sz w:val="32"/>
          <w:szCs w:val="32"/>
          <w:highlight w:val="none"/>
        </w:rPr>
        <w:t>预算执行率</w:t>
      </w:r>
      <w:r>
        <w:rPr>
          <w:rFonts w:hint="eastAsia" w:ascii="仿宋" w:hAnsi="仿宋" w:eastAsia="仿宋" w:cs="仿宋"/>
          <w:b w:val="0"/>
          <w:bCs/>
          <w:color w:val="0C0C0C"/>
          <w:sz w:val="32"/>
          <w:szCs w:val="32"/>
          <w:highlight w:val="none"/>
          <w:lang w:val="en-US" w:eastAsia="zh-CN"/>
        </w:rPr>
        <w:t>为100</w:t>
      </w:r>
      <w:r>
        <w:rPr>
          <w:rFonts w:ascii="仿宋" w:hAnsi="仿宋" w:eastAsia="仿宋" w:cs="仿宋"/>
          <w:b w:val="0"/>
          <w:bCs/>
          <w:color w:val="0C0C0C"/>
          <w:sz w:val="32"/>
          <w:szCs w:val="32"/>
          <w:highlight w:val="none"/>
        </w:rPr>
        <w:t>%</w:t>
      </w:r>
      <w:r>
        <w:rPr>
          <w:rFonts w:hint="eastAsia" w:ascii="仿宋" w:hAnsi="仿宋" w:eastAsia="仿宋" w:cs="仿宋"/>
          <w:b w:val="0"/>
          <w:bCs/>
          <w:color w:val="0C0C0C"/>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本项目资金使用严格按照《喀什地区财政扶贫资金管理办法（试行）》规定，涉及乡镇人民政府单位根据项目执行进度拨付工程款，资金支付由分管县委领导、主管财务县委领导、县财政局及扶贫办等各级部门审批审核；资金拨付由财政直接支付施工企业。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Style w:val="18"/>
          <w:rFonts w:hint="eastAsia" w:ascii="楷体_GB2312" w:hAnsi="楷体" w:eastAsia="楷体_GB2312"/>
          <w:b w:val="0"/>
          <w:bCs w:val="0"/>
          <w:spacing w:val="-4"/>
          <w:sz w:val="32"/>
          <w:szCs w:val="32"/>
          <w:lang w:val="en-US" w:eastAsia="zh-CN"/>
        </w:rPr>
      </w:pPr>
      <w:r>
        <w:rPr>
          <w:rFonts w:hint="eastAsia" w:ascii="黑体" w:hAnsi="黑体" w:eastAsia="黑体" w:cs="仿宋"/>
          <w:b w:val="0"/>
          <w:bCs w:val="0"/>
          <w:color w:val="0C0C0C"/>
          <w:sz w:val="32"/>
          <w:szCs w:val="32"/>
          <w:lang w:val="en-US" w:eastAsia="zh-CN"/>
        </w:rPr>
        <w:t>三、项目组织实施情况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 w:hAnsi="楷体" w:eastAsia="楷体"/>
          <w:spacing w:val="-4"/>
          <w:sz w:val="32"/>
          <w:szCs w:val="32"/>
        </w:rPr>
      </w:pPr>
      <w:r>
        <w:rPr>
          <w:rStyle w:val="18"/>
          <w:rFonts w:hint="eastAsia" w:ascii="楷体" w:hAnsi="楷体" w:eastAsia="楷体"/>
          <w:spacing w:val="-4"/>
          <w:sz w:val="32"/>
          <w:szCs w:val="32"/>
        </w:rPr>
        <w:t>（一）项目组织</w:t>
      </w:r>
      <w:r>
        <w:rPr>
          <w:rStyle w:val="18"/>
          <w:rFonts w:hint="eastAsia" w:ascii="楷体" w:hAnsi="楷体" w:eastAsia="楷体"/>
          <w:spacing w:val="-4"/>
          <w:sz w:val="32"/>
          <w:szCs w:val="32"/>
          <w:lang w:val="en-US" w:eastAsia="zh-CN"/>
        </w:rPr>
        <w:t>实施</w:t>
      </w:r>
      <w:r>
        <w:rPr>
          <w:rStyle w:val="18"/>
          <w:rFonts w:hint="eastAsia" w:ascii="楷体" w:hAnsi="楷体" w:eastAsia="楷体"/>
          <w:spacing w:val="-4"/>
          <w:sz w:val="32"/>
          <w:szCs w:val="32"/>
        </w:rPr>
        <w:t>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bCs/>
          <w:spacing w:val="-4"/>
          <w:kern w:val="2"/>
          <w:sz w:val="32"/>
          <w:szCs w:val="32"/>
        </w:rPr>
        <w:t>本项目预算资金11660万元，到位资金10558.47万元，项目实行中进行公开招标，本项目共分17个标段，工程招标总金额为10411.53万元，经审计决算后实际支付工程款10211.56万元，支付评审费26.4万元，监理费131.79万元，设计费120.82万元，审计费40.66万元，共计支出10531.23万元，其中2018年涉农整合结余资金支出410.39万元，2019年预算资金10120.84万元，结余27.24万元</w:t>
      </w:r>
      <w:r>
        <w:rPr>
          <w:rStyle w:val="18"/>
          <w:rFonts w:hint="eastAsia" w:ascii="仿宋" w:hAnsi="仿宋" w:eastAsia="仿宋" w:cs="仿宋"/>
          <w:b w:val="0"/>
          <w:bCs/>
          <w:spacing w:val="-4"/>
          <w:kern w:val="2"/>
          <w:sz w:val="32"/>
          <w:szCs w:val="32"/>
          <w:lang w:eastAsia="zh-CN"/>
        </w:rPr>
        <w:t>，</w:t>
      </w:r>
      <w:r>
        <w:rPr>
          <w:rStyle w:val="18"/>
          <w:rFonts w:hint="eastAsia" w:ascii="仿宋" w:hAnsi="仿宋" w:eastAsia="仿宋" w:cs="仿宋"/>
          <w:b w:val="0"/>
          <w:bCs/>
          <w:spacing w:val="-4"/>
          <w:kern w:val="2"/>
          <w:sz w:val="32"/>
          <w:szCs w:val="32"/>
          <w:lang w:val="en-US" w:eastAsia="zh-CN"/>
        </w:rPr>
        <w:t>已上缴财政，进行整合后，</w:t>
      </w:r>
      <w:r>
        <w:rPr>
          <w:rFonts w:hint="eastAsia" w:ascii="仿宋" w:hAnsi="仿宋" w:eastAsia="仿宋" w:cs="仿宋"/>
          <w:b w:val="0"/>
          <w:bCs/>
          <w:color w:val="0C0C0C"/>
          <w:sz w:val="32"/>
          <w:szCs w:val="32"/>
          <w:lang w:val="en-US" w:eastAsia="zh-CN"/>
        </w:rPr>
        <w:t>该项目全年预算数为</w:t>
      </w:r>
      <w:r>
        <w:rPr>
          <w:rFonts w:hint="eastAsia" w:ascii="仿宋" w:hAnsi="仿宋" w:eastAsia="仿宋" w:cs="仿宋"/>
          <w:b w:val="0"/>
          <w:bCs/>
          <w:color w:val="0C0C0C"/>
          <w:sz w:val="32"/>
          <w:szCs w:val="32"/>
        </w:rPr>
        <w:t>10531.23</w:t>
      </w:r>
      <w:r>
        <w:rPr>
          <w:rFonts w:hint="eastAsia" w:ascii="仿宋" w:hAnsi="仿宋" w:eastAsia="仿宋" w:cs="仿宋"/>
          <w:b w:val="0"/>
          <w:bCs/>
          <w:color w:val="0C0C0C"/>
          <w:sz w:val="32"/>
          <w:szCs w:val="32"/>
          <w:lang w:val="en-US" w:eastAsia="zh-CN"/>
        </w:rPr>
        <w:t>万元，</w:t>
      </w:r>
      <w:r>
        <w:rPr>
          <w:rFonts w:hint="eastAsia" w:ascii="仿宋" w:hAnsi="仿宋" w:eastAsia="仿宋" w:cs="仿宋"/>
          <w:b w:val="0"/>
          <w:bCs/>
          <w:color w:val="0C0C0C"/>
          <w:sz w:val="32"/>
          <w:szCs w:val="32"/>
          <w:highlight w:val="none"/>
        </w:rPr>
        <w:t>预算执行率</w:t>
      </w:r>
      <w:r>
        <w:rPr>
          <w:rFonts w:hint="eastAsia" w:ascii="仿宋" w:hAnsi="仿宋" w:eastAsia="仿宋" w:cs="仿宋"/>
          <w:b w:val="0"/>
          <w:bCs/>
          <w:color w:val="0C0C0C"/>
          <w:sz w:val="32"/>
          <w:szCs w:val="32"/>
          <w:highlight w:val="none"/>
          <w:lang w:val="en-US" w:eastAsia="zh-CN"/>
        </w:rPr>
        <w:t>为100</w:t>
      </w:r>
      <w:r>
        <w:rPr>
          <w:rFonts w:ascii="仿宋" w:hAnsi="仿宋" w:eastAsia="仿宋" w:cs="仿宋"/>
          <w:b w:val="0"/>
          <w:bCs/>
          <w:color w:val="0C0C0C"/>
          <w:sz w:val="32"/>
          <w:szCs w:val="32"/>
          <w:highlight w:val="none"/>
        </w:rPr>
        <w:t>%</w:t>
      </w:r>
      <w:r>
        <w:rPr>
          <w:rFonts w:hint="eastAsia" w:ascii="仿宋" w:hAnsi="仿宋" w:eastAsia="仿宋" w:cs="仿宋"/>
          <w:b w:val="0"/>
          <w:bCs/>
          <w:color w:val="0C0C0C"/>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在</w:t>
      </w:r>
      <w:r>
        <w:rPr>
          <w:rFonts w:hint="eastAsia" w:ascii="仿宋" w:hAnsi="仿宋" w:eastAsia="仿宋" w:cs="仿宋"/>
          <w:sz w:val="32"/>
          <w:szCs w:val="32"/>
        </w:rPr>
        <w:t>项目实施过程中，严格遵守相关法律法规和业务管理规定，项目资料齐全并及时归档，</w:t>
      </w:r>
      <w:r>
        <w:rPr>
          <w:rFonts w:hint="eastAsia" w:ascii="仿宋" w:hAnsi="仿宋" w:eastAsia="仿宋" w:cs="仿宋"/>
          <w:sz w:val="32"/>
          <w:szCs w:val="32"/>
          <w:lang w:val="en-US" w:eastAsia="zh-CN"/>
        </w:rPr>
        <w:t>不</w:t>
      </w:r>
      <w:r>
        <w:rPr>
          <w:rFonts w:hint="eastAsia" w:ascii="仿宋" w:hAnsi="仿宋" w:eastAsia="仿宋" w:cs="仿宋"/>
          <w:sz w:val="32"/>
          <w:szCs w:val="32"/>
        </w:rPr>
        <w:t>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仿宋"/>
          <w:b w:val="0"/>
          <w:bCs w:val="0"/>
          <w:color w:val="0C0C0C"/>
          <w:sz w:val="32"/>
          <w:szCs w:val="32"/>
          <w:lang w:val="en-US" w:eastAsia="zh-CN"/>
        </w:rPr>
      </w:pPr>
      <w:r>
        <w:rPr>
          <w:rFonts w:hint="eastAsia" w:ascii="黑体" w:hAnsi="黑体" w:eastAsia="黑体" w:cs="仿宋"/>
          <w:b w:val="0"/>
          <w:bCs w:val="0"/>
          <w:color w:val="0C0C0C"/>
          <w:sz w:val="32"/>
          <w:szCs w:val="32"/>
          <w:lang w:val="en-US" w:eastAsia="zh-CN"/>
        </w:rPr>
        <w:t>四、项目绩效指标完成情况分析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cs="仿宋"/>
          <w:color w:val="0C0C0C"/>
          <w:sz w:val="32"/>
          <w:szCs w:val="32"/>
        </w:rPr>
      </w:pPr>
      <w:r>
        <w:rPr>
          <w:rFonts w:hint="eastAsia" w:ascii="仿宋" w:hAnsi="仿宋" w:eastAsia="仿宋" w:cs="仿宋"/>
          <w:bCs/>
          <w:spacing w:val="-4"/>
          <w:sz w:val="32"/>
          <w:szCs w:val="32"/>
        </w:rPr>
        <w:t>项目共设置一级指标3个，二级指标</w:t>
      </w:r>
      <w:r>
        <w:rPr>
          <w:rFonts w:hint="eastAsia" w:ascii="仿宋" w:hAnsi="仿宋" w:eastAsia="仿宋" w:cs="仿宋"/>
          <w:bCs/>
          <w:spacing w:val="-4"/>
          <w:sz w:val="32"/>
          <w:szCs w:val="32"/>
          <w:lang w:val="en-US" w:eastAsia="zh-CN"/>
        </w:rPr>
        <w:t>9</w:t>
      </w:r>
      <w:r>
        <w:rPr>
          <w:rFonts w:hint="eastAsia" w:ascii="仿宋" w:hAnsi="仿宋" w:eastAsia="仿宋" w:cs="仿宋"/>
          <w:bCs/>
          <w:spacing w:val="-4"/>
          <w:sz w:val="32"/>
          <w:szCs w:val="32"/>
        </w:rPr>
        <w:t>个，三级指标1</w:t>
      </w:r>
      <w:r>
        <w:rPr>
          <w:rFonts w:hint="eastAsia" w:ascii="仿宋" w:hAnsi="仿宋" w:eastAsia="仿宋" w:cs="仿宋"/>
          <w:bCs/>
          <w:spacing w:val="-4"/>
          <w:sz w:val="32"/>
          <w:szCs w:val="32"/>
          <w:lang w:val="en-US" w:eastAsia="zh-CN"/>
        </w:rPr>
        <w:t>9</w:t>
      </w:r>
      <w:r>
        <w:rPr>
          <w:rFonts w:hint="eastAsia" w:ascii="仿宋" w:hAnsi="仿宋" w:eastAsia="仿宋" w:cs="仿宋"/>
          <w:bCs/>
          <w:spacing w:val="-4"/>
          <w:sz w:val="32"/>
          <w:szCs w:val="32"/>
        </w:rPr>
        <w:t>个，其中已完成三级指标</w:t>
      </w:r>
      <w:r>
        <w:rPr>
          <w:rFonts w:hint="eastAsia" w:ascii="仿宋" w:hAnsi="仿宋" w:eastAsia="仿宋" w:cs="仿宋"/>
          <w:bCs/>
          <w:spacing w:val="-4"/>
          <w:sz w:val="32"/>
          <w:szCs w:val="32"/>
          <w:lang w:val="en-US" w:eastAsia="zh-CN"/>
        </w:rPr>
        <w:t>17</w:t>
      </w:r>
      <w:r>
        <w:rPr>
          <w:rFonts w:hint="eastAsia" w:ascii="仿宋" w:hAnsi="仿宋" w:eastAsia="仿宋" w:cs="仿宋"/>
          <w:bCs/>
          <w:spacing w:val="-4"/>
          <w:sz w:val="32"/>
          <w:szCs w:val="32"/>
        </w:rPr>
        <w:t>个，指标完成率为</w:t>
      </w:r>
      <w:r>
        <w:rPr>
          <w:rFonts w:hint="eastAsia" w:ascii="仿宋" w:hAnsi="仿宋" w:eastAsia="仿宋" w:cs="仿宋"/>
          <w:bCs/>
          <w:spacing w:val="-4"/>
          <w:sz w:val="32"/>
          <w:szCs w:val="32"/>
          <w:lang w:val="en-US" w:eastAsia="zh-CN"/>
        </w:rPr>
        <w:t>89.47</w:t>
      </w:r>
      <w:r>
        <w:rPr>
          <w:rFonts w:hint="eastAsia" w:ascii="仿宋" w:hAnsi="仿宋" w:eastAsia="仿宋" w:cs="仿宋"/>
          <w:bCs/>
          <w:spacing w:val="-4"/>
          <w:sz w:val="32"/>
          <w:szCs w:val="32"/>
        </w:rPr>
        <w:t>%。</w:t>
      </w:r>
    </w:p>
    <w:p>
      <w:pPr>
        <w:keepLines w:val="0"/>
        <w:pageBreakBefore w:val="0"/>
        <w:kinsoku/>
        <w:wordWrap/>
        <w:overflowPunct/>
        <w:topLinePunct w:val="0"/>
        <w:autoSpaceDE/>
        <w:autoSpaceDN/>
        <w:bidi w:val="0"/>
        <w:spacing w:line="560" w:lineRule="exact"/>
        <w:ind w:firstLine="643" w:firstLineChars="200"/>
        <w:textAlignment w:val="auto"/>
        <w:outlineLvl w:val="2"/>
        <w:rPr>
          <w:rFonts w:hint="eastAsia" w:ascii="楷体" w:hAnsi="楷体" w:eastAsia="楷体" w:cs="楷体"/>
          <w:b/>
          <w:bCs/>
          <w:color w:val="0C0C0C"/>
          <w:sz w:val="32"/>
          <w:szCs w:val="32"/>
        </w:rPr>
      </w:pPr>
      <w:r>
        <w:rPr>
          <w:rFonts w:hint="eastAsia" w:ascii="楷体" w:hAnsi="楷体" w:eastAsia="楷体" w:cs="楷体"/>
          <w:b/>
          <w:bCs/>
          <w:color w:val="0C0C0C"/>
          <w:sz w:val="32"/>
          <w:szCs w:val="32"/>
          <w:lang w:val="en-US" w:eastAsia="zh-CN"/>
        </w:rPr>
        <w:t>(一）</w:t>
      </w:r>
      <w:r>
        <w:rPr>
          <w:rFonts w:hint="eastAsia" w:ascii="楷体" w:hAnsi="楷体" w:eastAsia="楷体" w:cs="楷体"/>
          <w:b/>
          <w:bCs/>
          <w:color w:val="0C0C0C"/>
          <w:sz w:val="32"/>
          <w:szCs w:val="32"/>
        </w:rPr>
        <w:t>产出指标完成情况分析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1.</w:t>
      </w:r>
      <w:r>
        <w:rPr>
          <w:rFonts w:hint="eastAsia" w:ascii="仿宋" w:hAnsi="仿宋" w:eastAsia="仿宋" w:cs="仿宋"/>
          <w:color w:val="0C0C0C"/>
          <w:sz w:val="32"/>
          <w:szCs w:val="32"/>
        </w:rPr>
        <w:t>项目完成数量</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rPr>
        <w:t>根据项目绩效目标设定内容，</w:t>
      </w:r>
      <w:r>
        <w:rPr>
          <w:rFonts w:hint="eastAsia" w:ascii="仿宋" w:hAnsi="仿宋" w:eastAsia="仿宋" w:cs="仿宋"/>
          <w:color w:val="0C0C0C"/>
          <w:sz w:val="32"/>
          <w:szCs w:val="32"/>
          <w:lang w:val="en-US" w:eastAsia="zh-CN"/>
        </w:rPr>
        <w:t>设立数量指标吐曼塔勒乡修建长度指标预期值</w:t>
      </w:r>
      <w:r>
        <w:rPr>
          <w:rFonts w:hint="eastAsia" w:ascii="仿宋" w:hAnsi="仿宋" w:eastAsia="仿宋" w:cs="仿宋"/>
          <w:b w:val="0"/>
          <w:bCs/>
          <w:color w:val="0C0C0C"/>
          <w:sz w:val="32"/>
          <w:szCs w:val="32"/>
          <w:lang w:val="en-US" w:eastAsia="zh-CN"/>
        </w:rPr>
        <w:t>≥</w:t>
      </w:r>
      <w:r>
        <w:rPr>
          <w:rFonts w:hint="eastAsia" w:ascii="仿宋" w:hAnsi="仿宋" w:eastAsia="仿宋" w:cs="仿宋"/>
          <w:color w:val="0C0C0C"/>
          <w:sz w:val="32"/>
          <w:szCs w:val="32"/>
          <w:lang w:val="en-US" w:eastAsia="zh-CN"/>
        </w:rPr>
        <w:t>49.001公里，实际完成值49.001公里，</w:t>
      </w:r>
      <w:r>
        <w:rPr>
          <w:rFonts w:hint="eastAsia" w:ascii="仿宋" w:hAnsi="仿宋" w:eastAsia="仿宋" w:cs="仿宋"/>
          <w:b w:val="0"/>
          <w:bCs/>
          <w:color w:val="0C0C0C"/>
          <w:sz w:val="32"/>
          <w:szCs w:val="32"/>
          <w:lang w:val="en-US" w:eastAsia="zh-CN"/>
        </w:rPr>
        <w:t>该指标权值分为3分，得分3分；库木库萨尔乡和希依提墩乡修建长度指标预期值≥7.635公里，实际完成值7.635公里，该指标权值分为3分，得分3分；贫困村新建改建公路里程指标预期值≥80公里，实际完成值76.686公里，该指标权值分为4分，得分2分；因部分标段完成招标后，在施工过程中，原规划修建路线中，部分村村民迁至新址，该路段无交通需求，故部分路段终止实施。克孜勒阿瓦提乡修建长度指标预期值≥38.025公里，实际完成值38.025公里，该指标权值分为3分，得分3分；央塔克乡修建长度指标预期值≥36.631公里，实际完成值36.631公里，该指标权值分为3分，得分3分；数量指标总权值分16分，得分14分。</w:t>
      </w:r>
    </w:p>
    <w:p>
      <w:pPr>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2.</w:t>
      </w:r>
      <w:r>
        <w:rPr>
          <w:rFonts w:hint="eastAsia" w:ascii="仿宋" w:hAnsi="仿宋" w:eastAsia="仿宋" w:cs="仿宋"/>
          <w:color w:val="0C0C0C"/>
          <w:sz w:val="32"/>
          <w:szCs w:val="32"/>
        </w:rPr>
        <w:t>项目完成质量。</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rPr>
        <w:t>项目经专业部门验收</w:t>
      </w:r>
      <w:r>
        <w:rPr>
          <w:rFonts w:hint="eastAsia" w:ascii="仿宋" w:hAnsi="仿宋" w:eastAsia="仿宋" w:cs="仿宋"/>
          <w:color w:val="0C0C0C"/>
          <w:sz w:val="32"/>
          <w:szCs w:val="32"/>
          <w:lang w:eastAsia="zh-CN"/>
        </w:rPr>
        <w:t>，</w:t>
      </w:r>
      <w:r>
        <w:rPr>
          <w:rFonts w:hint="eastAsia" w:ascii="仿宋" w:hAnsi="仿宋" w:eastAsia="仿宋" w:cs="仿宋"/>
          <w:color w:val="0C0C0C"/>
          <w:sz w:val="32"/>
          <w:szCs w:val="32"/>
          <w:lang w:val="en-US" w:eastAsia="zh-CN"/>
        </w:rPr>
        <w:t>设立质量指标</w:t>
      </w:r>
      <w:r>
        <w:rPr>
          <w:rFonts w:hint="eastAsia" w:ascii="仿宋" w:hAnsi="仿宋" w:eastAsia="仿宋" w:cs="仿宋"/>
          <w:color w:val="0C0C0C"/>
          <w:sz w:val="32"/>
          <w:szCs w:val="32"/>
        </w:rPr>
        <w:t>项目（工程）验收合格率</w:t>
      </w:r>
      <w:r>
        <w:rPr>
          <w:rFonts w:hint="eastAsia" w:ascii="仿宋" w:hAnsi="仿宋" w:eastAsia="仿宋" w:cs="仿宋"/>
          <w:color w:val="0C0C0C"/>
          <w:sz w:val="32"/>
          <w:szCs w:val="32"/>
          <w:lang w:val="en-US" w:eastAsia="zh-CN"/>
        </w:rPr>
        <w:t>指标预期值100%，实际完成值100%，</w:t>
      </w:r>
      <w:r>
        <w:rPr>
          <w:rFonts w:hint="eastAsia" w:ascii="仿宋" w:hAnsi="仿宋" w:eastAsia="仿宋" w:cs="仿宋"/>
          <w:b w:val="0"/>
          <w:bCs/>
          <w:color w:val="0C0C0C"/>
          <w:sz w:val="32"/>
          <w:szCs w:val="32"/>
          <w:lang w:val="en-US" w:eastAsia="zh-CN"/>
        </w:rPr>
        <w:t>该指标权值分为4分，得分4分；设计行车速度指标预期值40公里/小时，实际完成值40公里/小时，该指标权值分为4分，得分4分；行车道宽度指标预期值3.5米，</w:t>
      </w:r>
      <w:r>
        <w:rPr>
          <w:rFonts w:hint="eastAsia" w:ascii="仿宋" w:hAnsi="仿宋" w:eastAsia="仿宋" w:cs="仿宋"/>
          <w:color w:val="0C0C0C"/>
          <w:sz w:val="32"/>
          <w:szCs w:val="32"/>
          <w:lang w:val="en-US" w:eastAsia="zh-CN"/>
        </w:rPr>
        <w:t>实际完成值3.5米，</w:t>
      </w:r>
      <w:r>
        <w:rPr>
          <w:rFonts w:hint="eastAsia" w:ascii="仿宋" w:hAnsi="仿宋" w:eastAsia="仿宋" w:cs="仿宋"/>
          <w:b w:val="0"/>
          <w:bCs/>
          <w:color w:val="0C0C0C"/>
          <w:sz w:val="32"/>
          <w:szCs w:val="32"/>
          <w:lang w:val="en-US" w:eastAsia="zh-CN"/>
        </w:rPr>
        <w:t>该指标权值分为3分，得分3分；路基宽度指标预期值6.5米，</w:t>
      </w:r>
      <w:r>
        <w:rPr>
          <w:rFonts w:hint="eastAsia" w:ascii="仿宋" w:hAnsi="仿宋" w:eastAsia="仿宋" w:cs="仿宋"/>
          <w:color w:val="0C0C0C"/>
          <w:sz w:val="32"/>
          <w:szCs w:val="32"/>
          <w:lang w:val="en-US" w:eastAsia="zh-CN"/>
        </w:rPr>
        <w:t>实际完成值6.5米，</w:t>
      </w:r>
      <w:r>
        <w:rPr>
          <w:rFonts w:hint="eastAsia" w:ascii="仿宋" w:hAnsi="仿宋" w:eastAsia="仿宋" w:cs="仿宋"/>
          <w:b w:val="0"/>
          <w:bCs/>
          <w:color w:val="0C0C0C"/>
          <w:sz w:val="32"/>
          <w:szCs w:val="32"/>
          <w:lang w:val="en-US" w:eastAsia="zh-CN"/>
        </w:rPr>
        <w:t>该指标权值分为3分，得分3分；质量指标总权值分14分，得分14分。</w:t>
      </w:r>
    </w:p>
    <w:p>
      <w:pPr>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3.</w:t>
      </w:r>
      <w:r>
        <w:rPr>
          <w:rFonts w:hint="eastAsia" w:ascii="仿宋" w:hAnsi="仿宋" w:eastAsia="仿宋" w:cs="仿宋"/>
          <w:color w:val="0C0C0C"/>
          <w:sz w:val="32"/>
          <w:szCs w:val="32"/>
        </w:rPr>
        <w:t>项目</w:t>
      </w:r>
      <w:r>
        <w:rPr>
          <w:rFonts w:hint="eastAsia" w:ascii="仿宋" w:hAnsi="仿宋" w:eastAsia="仿宋" w:cs="仿宋"/>
          <w:color w:val="0C0C0C"/>
          <w:sz w:val="32"/>
          <w:szCs w:val="32"/>
          <w:lang w:val="en-US" w:eastAsia="zh-CN"/>
        </w:rPr>
        <w:t>完成时效</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本项目计划实施进度为2019年4月-2019年6月，</w:t>
      </w:r>
      <w:r>
        <w:rPr>
          <w:rFonts w:hint="eastAsia" w:ascii="仿宋" w:hAnsi="仿宋" w:eastAsia="仿宋" w:cs="仿宋"/>
          <w:color w:val="0C0C0C"/>
          <w:sz w:val="32"/>
          <w:szCs w:val="32"/>
          <w:lang w:val="en-US" w:eastAsia="zh-CN"/>
        </w:rPr>
        <w:t>设立时效指标2019年4月开工及时率</w:t>
      </w:r>
      <w:r>
        <w:rPr>
          <w:rFonts w:hint="eastAsia" w:ascii="仿宋" w:hAnsi="仿宋" w:eastAsia="仿宋" w:cs="仿宋"/>
          <w:b w:val="0"/>
          <w:bCs/>
          <w:color w:val="0C0C0C"/>
          <w:sz w:val="32"/>
          <w:szCs w:val="32"/>
          <w:lang w:val="en-US" w:eastAsia="zh-CN"/>
        </w:rPr>
        <w:t>指标预期值100%，实际完成值100%，该指标权值分为5分，得分5分；2019年6月完工及时率指标预期值100%，实际完成值0%，该指标权值分为5分，得分0分；</w:t>
      </w:r>
      <w:r>
        <w:rPr>
          <w:rFonts w:hint="eastAsia" w:ascii="仿宋" w:hAnsi="仿宋" w:eastAsia="仿宋" w:cs="仿宋"/>
          <w:color w:val="0C0C0C"/>
          <w:sz w:val="32"/>
          <w:szCs w:val="32"/>
        </w:rPr>
        <w:t>因前期资金到位较少，导致施工标段未能整体推进，该项目完工时间由6月推迟至9月。</w:t>
      </w:r>
      <w:r>
        <w:rPr>
          <w:rFonts w:hint="eastAsia" w:ascii="仿宋" w:hAnsi="仿宋" w:eastAsia="仿宋" w:cs="仿宋"/>
          <w:b w:val="0"/>
          <w:bCs/>
          <w:color w:val="0C0C0C"/>
          <w:sz w:val="32"/>
          <w:szCs w:val="32"/>
          <w:lang w:val="en-US" w:eastAsia="zh-CN"/>
        </w:rPr>
        <w:t>时效指标总权值分10分，得分5分。</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4.</w:t>
      </w:r>
      <w:r>
        <w:rPr>
          <w:rFonts w:hint="eastAsia" w:ascii="仿宋" w:hAnsi="仿宋" w:eastAsia="仿宋" w:cs="仿宋"/>
          <w:color w:val="0C0C0C"/>
          <w:sz w:val="32"/>
          <w:szCs w:val="32"/>
        </w:rPr>
        <w:t>项目成本节约情况</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C0C0C"/>
          <w:sz w:val="32"/>
          <w:szCs w:val="32"/>
          <w:lang w:val="en-US" w:eastAsia="zh-CN"/>
        </w:rPr>
        <w:t>该项目成本指标</w:t>
      </w:r>
      <w:r>
        <w:rPr>
          <w:rFonts w:hint="eastAsia" w:ascii="仿宋" w:hAnsi="仿宋" w:eastAsia="仿宋" w:cs="仿宋"/>
          <w:color w:val="0C0C0C"/>
          <w:sz w:val="32"/>
          <w:szCs w:val="32"/>
        </w:rPr>
        <w:t>预算巴扎结米镇、尕孜库勒乡、库尔玛乡每公里建设成本</w:t>
      </w:r>
      <w:r>
        <w:rPr>
          <w:rFonts w:hint="eastAsia" w:ascii="仿宋" w:hAnsi="仿宋" w:eastAsia="仿宋" w:cs="仿宋"/>
          <w:color w:val="0C0C0C"/>
          <w:sz w:val="32"/>
          <w:szCs w:val="32"/>
          <w:lang w:val="en-US" w:eastAsia="zh-CN"/>
        </w:rPr>
        <w:t>指标预期值</w:t>
      </w:r>
      <w:r>
        <w:rPr>
          <w:rFonts w:hint="eastAsia" w:ascii="仿宋" w:hAnsi="仿宋" w:eastAsia="仿宋" w:cs="仿宋"/>
          <w:b w:val="0"/>
          <w:bCs/>
          <w:color w:val="0C0C0C"/>
          <w:sz w:val="32"/>
          <w:szCs w:val="32"/>
          <w:lang w:val="en-US" w:eastAsia="zh-CN"/>
        </w:rPr>
        <w:t>≤</w:t>
      </w:r>
      <w:r>
        <w:rPr>
          <w:rFonts w:hint="eastAsia" w:ascii="仿宋" w:hAnsi="仿宋" w:eastAsia="仿宋" w:cs="仿宋"/>
          <w:color w:val="0C0C0C"/>
          <w:sz w:val="32"/>
          <w:szCs w:val="32"/>
        </w:rPr>
        <w:t>55万元，实际</w:t>
      </w:r>
      <w:r>
        <w:rPr>
          <w:rFonts w:hint="eastAsia" w:ascii="仿宋" w:hAnsi="仿宋" w:eastAsia="仿宋" w:cs="仿宋"/>
          <w:color w:val="0C0C0C"/>
          <w:sz w:val="32"/>
          <w:szCs w:val="32"/>
          <w:lang w:val="en-US" w:eastAsia="zh-CN"/>
        </w:rPr>
        <w:t>完成值</w:t>
      </w:r>
      <w:r>
        <w:rPr>
          <w:rFonts w:hint="eastAsia" w:ascii="仿宋" w:hAnsi="仿宋" w:eastAsia="仿宋" w:cs="仿宋"/>
          <w:color w:val="0C0C0C"/>
          <w:sz w:val="32"/>
          <w:szCs w:val="32"/>
        </w:rPr>
        <w:t>51万元。</w:t>
      </w:r>
      <w:r>
        <w:rPr>
          <w:rFonts w:hint="eastAsia" w:ascii="仿宋" w:hAnsi="仿宋" w:eastAsia="仿宋" w:cs="仿宋"/>
          <w:b w:val="0"/>
          <w:bCs/>
          <w:color w:val="0C0C0C"/>
          <w:sz w:val="32"/>
          <w:szCs w:val="32"/>
          <w:lang w:val="en-US" w:eastAsia="zh-CN"/>
        </w:rPr>
        <w:t>该指标权值分为5分，得分5分；吐曼塔勒乡、库木库萨尔乡、希依提墩乡、克孜勒阿瓦提乡、央塔克乡每公里建设成本预期值≤</w:t>
      </w:r>
      <w:r>
        <w:rPr>
          <w:rFonts w:hint="eastAsia" w:ascii="仿宋" w:hAnsi="仿宋" w:eastAsia="仿宋" w:cs="仿宋"/>
          <w:b w:val="0"/>
          <w:bCs w:val="0"/>
          <w:color w:val="0C0C0C"/>
          <w:sz w:val="32"/>
          <w:szCs w:val="32"/>
          <w:lang w:val="en-US" w:eastAsia="zh-CN"/>
        </w:rPr>
        <w:t>49万元，实际完成值49万元，</w:t>
      </w:r>
      <w:r>
        <w:rPr>
          <w:rFonts w:hint="eastAsia" w:ascii="仿宋" w:hAnsi="仿宋" w:eastAsia="仿宋" w:cs="仿宋"/>
          <w:b w:val="0"/>
          <w:bCs/>
          <w:color w:val="0C0C0C"/>
          <w:sz w:val="32"/>
          <w:szCs w:val="32"/>
          <w:lang w:val="en-US" w:eastAsia="zh-CN"/>
        </w:rPr>
        <w:t>该指标权值分为5分，得分5分</w:t>
      </w:r>
      <w:r>
        <w:rPr>
          <w:rFonts w:hint="eastAsia" w:ascii="仿宋" w:hAnsi="仿宋" w:eastAsia="仿宋" w:cs="仿宋"/>
          <w:b w:val="0"/>
          <w:bCs w:val="0"/>
          <w:color w:val="0C0C0C"/>
          <w:sz w:val="32"/>
          <w:szCs w:val="32"/>
          <w:lang w:val="en-US" w:eastAsia="zh-CN"/>
        </w:rPr>
        <w:t>。</w:t>
      </w:r>
      <w:r>
        <w:rPr>
          <w:rFonts w:hint="eastAsia" w:ascii="仿宋" w:hAnsi="仿宋" w:eastAsia="仿宋" w:cs="仿宋"/>
          <w:b w:val="0"/>
          <w:bCs/>
          <w:color w:val="0C0C0C"/>
          <w:sz w:val="32"/>
          <w:szCs w:val="32"/>
          <w:lang w:val="en-US" w:eastAsia="zh-CN"/>
        </w:rPr>
        <w:t>成本指标总权衡分值10分，得分10分。</w:t>
      </w:r>
    </w:p>
    <w:p>
      <w:pPr>
        <w:keepLines w:val="0"/>
        <w:pageBreakBefore w:val="0"/>
        <w:kinsoku/>
        <w:wordWrap/>
        <w:overflowPunct/>
        <w:topLinePunct w:val="0"/>
        <w:autoSpaceDE/>
        <w:autoSpaceDN/>
        <w:bidi w:val="0"/>
        <w:spacing w:line="560" w:lineRule="exact"/>
        <w:ind w:firstLine="643" w:firstLineChars="200"/>
        <w:textAlignment w:val="auto"/>
        <w:outlineLvl w:val="2"/>
        <w:rPr>
          <w:rFonts w:hint="eastAsia" w:ascii="楷体" w:hAnsi="楷体" w:eastAsia="楷体" w:cs="楷体"/>
          <w:b/>
          <w:bCs/>
          <w:color w:val="0C0C0C"/>
          <w:sz w:val="32"/>
          <w:szCs w:val="32"/>
        </w:rPr>
      </w:pPr>
      <w:r>
        <w:rPr>
          <w:rFonts w:hint="eastAsia" w:ascii="楷体" w:hAnsi="楷体" w:eastAsia="楷体" w:cs="楷体"/>
          <w:b/>
          <w:bCs/>
          <w:color w:val="0C0C0C"/>
          <w:sz w:val="32"/>
          <w:szCs w:val="32"/>
          <w:lang w:eastAsia="zh-CN"/>
        </w:rPr>
        <w:t>（</w:t>
      </w:r>
      <w:r>
        <w:rPr>
          <w:rFonts w:hint="eastAsia" w:ascii="楷体" w:hAnsi="楷体" w:eastAsia="楷体" w:cs="楷体"/>
          <w:b/>
          <w:bCs/>
          <w:color w:val="0C0C0C"/>
          <w:sz w:val="32"/>
          <w:szCs w:val="32"/>
          <w:lang w:val="en-US" w:eastAsia="zh-CN"/>
        </w:rPr>
        <w:t>二）</w:t>
      </w:r>
      <w:r>
        <w:rPr>
          <w:rFonts w:hint="eastAsia" w:ascii="楷体" w:hAnsi="楷体" w:eastAsia="楷体" w:cs="楷体"/>
          <w:b/>
          <w:bCs/>
          <w:color w:val="0C0C0C"/>
          <w:sz w:val="32"/>
          <w:szCs w:val="32"/>
        </w:rPr>
        <w:t>效益指标完成情况分析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1.</w:t>
      </w:r>
      <w:r>
        <w:rPr>
          <w:rFonts w:hint="eastAsia" w:ascii="仿宋" w:hAnsi="仿宋" w:eastAsia="仿宋" w:cs="仿宋"/>
          <w:color w:val="0C0C0C"/>
          <w:sz w:val="32"/>
          <w:szCs w:val="32"/>
        </w:rPr>
        <w:t>项目实施的经济效益分析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经济效益指标：</w:t>
      </w:r>
      <w:r>
        <w:rPr>
          <w:rFonts w:hint="eastAsia" w:ascii="仿宋" w:hAnsi="仿宋" w:eastAsia="仿宋" w:cs="仿宋"/>
          <w:b w:val="0"/>
          <w:bCs/>
          <w:sz w:val="32"/>
          <w:szCs w:val="32"/>
        </w:rPr>
        <w:t>降低产品运输成本</w:t>
      </w:r>
      <w:r>
        <w:rPr>
          <w:rFonts w:hint="eastAsia" w:ascii="仿宋" w:hAnsi="仿宋" w:eastAsia="仿宋" w:cs="仿宋"/>
          <w:b w:val="0"/>
          <w:bCs/>
          <w:color w:val="0C0C0C"/>
          <w:sz w:val="32"/>
          <w:szCs w:val="32"/>
          <w:lang w:val="en-US" w:eastAsia="zh-CN"/>
        </w:rPr>
        <w:t>指标</w:t>
      </w:r>
      <w:r>
        <w:rPr>
          <w:rFonts w:hint="eastAsia" w:ascii="仿宋" w:hAnsi="仿宋" w:eastAsia="仿宋" w:cs="仿宋"/>
          <w:b w:val="0"/>
          <w:bCs/>
          <w:sz w:val="32"/>
          <w:szCs w:val="32"/>
          <w:lang w:val="en-US" w:eastAsia="zh-CN"/>
        </w:rPr>
        <w:t>预期值明显降低</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实际完成值100%，</w:t>
      </w:r>
      <w:r>
        <w:rPr>
          <w:rFonts w:hint="eastAsia" w:ascii="仿宋" w:hAnsi="仿宋" w:eastAsia="仿宋" w:cs="仿宋"/>
          <w:b w:val="0"/>
          <w:bCs/>
          <w:color w:val="0C0C0C"/>
          <w:sz w:val="32"/>
          <w:szCs w:val="32"/>
          <w:lang w:val="en-US" w:eastAsia="zh-CN"/>
        </w:rPr>
        <w:t>该指标权值分为6分，得分6分，项目实施完毕后明显降低</w:t>
      </w:r>
      <w:r>
        <w:rPr>
          <w:rFonts w:hint="eastAsia" w:ascii="仿宋" w:hAnsi="仿宋" w:eastAsia="仿宋" w:cs="仿宋"/>
          <w:b w:val="0"/>
          <w:bCs/>
          <w:sz w:val="32"/>
          <w:szCs w:val="32"/>
        </w:rPr>
        <w:t>产品运输</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经济效益指标</w:t>
      </w:r>
      <w:r>
        <w:rPr>
          <w:rFonts w:hint="eastAsia" w:ascii="仿宋" w:hAnsi="仿宋" w:eastAsia="仿宋" w:cs="仿宋"/>
          <w:b w:val="0"/>
          <w:bCs/>
          <w:color w:val="0C0C0C"/>
          <w:sz w:val="32"/>
          <w:szCs w:val="32"/>
          <w:lang w:val="en-US" w:eastAsia="zh-CN"/>
        </w:rPr>
        <w:t>总权衡分值6分，得分6分。</w:t>
      </w:r>
    </w:p>
    <w:p>
      <w:pPr>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2.</w:t>
      </w:r>
      <w:r>
        <w:rPr>
          <w:rFonts w:hint="eastAsia" w:ascii="仿宋" w:hAnsi="仿宋" w:eastAsia="仿宋" w:cs="仿宋"/>
          <w:color w:val="0C0C0C"/>
          <w:sz w:val="32"/>
          <w:szCs w:val="32"/>
        </w:rPr>
        <w:t>项目实施的社会效益分析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b w:val="0"/>
          <w:bCs/>
          <w:color w:val="0C0C0C"/>
          <w:sz w:val="32"/>
          <w:szCs w:val="32"/>
          <w:lang w:val="en-US" w:eastAsia="zh-CN"/>
        </w:rPr>
        <w:t>社会效益指标：</w:t>
      </w:r>
      <w:r>
        <w:rPr>
          <w:rFonts w:hint="eastAsia" w:ascii="仿宋" w:hAnsi="仿宋" w:eastAsia="仿宋" w:cs="仿宋"/>
          <w:b w:val="0"/>
          <w:bCs/>
          <w:color w:val="0C0C0C"/>
          <w:sz w:val="32"/>
          <w:szCs w:val="32"/>
        </w:rPr>
        <w:t>受益建档立卡贫困人口数</w:t>
      </w:r>
      <w:r>
        <w:rPr>
          <w:rFonts w:hint="eastAsia" w:ascii="仿宋" w:hAnsi="仿宋" w:eastAsia="仿宋" w:cs="仿宋"/>
          <w:b w:val="0"/>
          <w:bCs/>
          <w:color w:val="0C0C0C"/>
          <w:sz w:val="32"/>
          <w:szCs w:val="32"/>
          <w:lang w:val="en-US" w:eastAsia="zh-CN"/>
        </w:rPr>
        <w:t>指标预期值≥13041人</w:t>
      </w:r>
      <w:r>
        <w:rPr>
          <w:rFonts w:hint="eastAsia" w:ascii="仿宋" w:hAnsi="仿宋" w:eastAsia="仿宋" w:cs="仿宋"/>
          <w:b w:val="0"/>
          <w:bCs/>
          <w:color w:val="0C0C0C"/>
          <w:sz w:val="32"/>
          <w:szCs w:val="32"/>
          <w:lang w:eastAsia="zh-CN"/>
        </w:rPr>
        <w:t>，</w:t>
      </w:r>
      <w:r>
        <w:rPr>
          <w:rFonts w:hint="eastAsia" w:ascii="仿宋" w:hAnsi="仿宋" w:eastAsia="仿宋" w:cs="仿宋"/>
          <w:b w:val="0"/>
          <w:bCs/>
          <w:color w:val="0C0C0C"/>
          <w:sz w:val="32"/>
          <w:szCs w:val="32"/>
          <w:lang w:val="en-US" w:eastAsia="zh-CN"/>
        </w:rPr>
        <w:t>实际完成值13041人，该指标权值分为6分，得分6分；方便农民出行指标预期值明显提升，实际完成值100%，该指标权值分为6分，得分6分；</w:t>
      </w:r>
      <w:r>
        <w:rPr>
          <w:rFonts w:hint="eastAsia" w:ascii="仿宋" w:hAnsi="仿宋" w:eastAsia="仿宋" w:cs="仿宋"/>
          <w:color w:val="0C0C0C"/>
          <w:sz w:val="32"/>
          <w:szCs w:val="32"/>
        </w:rPr>
        <w:t>本项目的实施方便农民出行，为脱贫致富创造良好的外部环境</w:t>
      </w:r>
      <w:r>
        <w:rPr>
          <w:rFonts w:hint="eastAsia" w:ascii="仿宋" w:hAnsi="仿宋" w:eastAsia="仿宋" w:cs="仿宋"/>
          <w:color w:val="0C0C0C"/>
          <w:sz w:val="32"/>
          <w:szCs w:val="32"/>
          <w:lang w:eastAsia="zh-CN"/>
        </w:rPr>
        <w:t>，受益建档立卡贫困人口数</w:t>
      </w:r>
      <w:r>
        <w:rPr>
          <w:rFonts w:hint="eastAsia" w:ascii="仿宋" w:hAnsi="仿宋" w:eastAsia="仿宋" w:cs="仿宋"/>
          <w:color w:val="0C0C0C"/>
          <w:sz w:val="32"/>
          <w:szCs w:val="32"/>
          <w:lang w:val="en-US" w:eastAsia="zh-CN"/>
        </w:rPr>
        <w:t>13041</w:t>
      </w:r>
      <w:r>
        <w:rPr>
          <w:rFonts w:hint="eastAsia" w:ascii="仿宋" w:hAnsi="仿宋" w:eastAsia="仿宋" w:cs="仿宋"/>
          <w:color w:val="0C0C0C"/>
          <w:sz w:val="32"/>
          <w:szCs w:val="32"/>
          <w:lang w:eastAsia="zh-CN"/>
        </w:rPr>
        <w:t>人</w:t>
      </w:r>
      <w:r>
        <w:rPr>
          <w:rFonts w:hint="eastAsia" w:ascii="仿宋" w:hAnsi="仿宋" w:eastAsia="仿宋" w:cs="仿宋"/>
          <w:color w:val="0C0C0C"/>
          <w:sz w:val="32"/>
          <w:szCs w:val="32"/>
        </w:rPr>
        <w:t>。</w:t>
      </w:r>
      <w:r>
        <w:rPr>
          <w:rFonts w:hint="eastAsia" w:ascii="仿宋" w:hAnsi="仿宋" w:eastAsia="仿宋" w:cs="仿宋"/>
          <w:b w:val="0"/>
          <w:bCs/>
          <w:color w:val="0C0C0C"/>
          <w:sz w:val="32"/>
          <w:szCs w:val="32"/>
          <w:lang w:val="en-US" w:eastAsia="zh-CN"/>
        </w:rPr>
        <w:t>社会效益指标总权衡分值12分，得分12分。</w:t>
      </w:r>
    </w:p>
    <w:p>
      <w:pPr>
        <w:keepLines w:val="0"/>
        <w:pageBreakBefore w:val="0"/>
        <w:kinsoku/>
        <w:wordWrap/>
        <w:overflowPunct/>
        <w:topLinePunct w:val="0"/>
        <w:autoSpaceDE/>
        <w:autoSpaceDN/>
        <w:bidi w:val="0"/>
        <w:spacing w:line="560" w:lineRule="exact"/>
        <w:ind w:firstLine="960" w:firstLineChars="3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3.</w:t>
      </w:r>
      <w:r>
        <w:rPr>
          <w:rFonts w:hint="eastAsia" w:ascii="仿宋" w:hAnsi="仿宋" w:eastAsia="仿宋" w:cs="仿宋"/>
          <w:color w:val="0C0C0C"/>
          <w:sz w:val="32"/>
          <w:szCs w:val="32"/>
        </w:rPr>
        <w:t>项目实施的生态效益分析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生态效益指标：减少出行能耗指标预期值显著有效，实际完成值100%，</w:t>
      </w:r>
      <w:r>
        <w:rPr>
          <w:rFonts w:hint="eastAsia" w:ascii="仿宋" w:hAnsi="仿宋" w:eastAsia="仿宋" w:cs="仿宋"/>
          <w:b w:val="0"/>
          <w:bCs/>
          <w:color w:val="0C0C0C"/>
          <w:sz w:val="32"/>
          <w:szCs w:val="32"/>
          <w:lang w:val="en-US" w:eastAsia="zh-CN"/>
        </w:rPr>
        <w:t>该指标权值分为6分，得分6分。</w:t>
      </w:r>
      <w:r>
        <w:rPr>
          <w:rFonts w:hint="eastAsia" w:ascii="仿宋" w:hAnsi="仿宋" w:eastAsia="仿宋" w:cs="仿宋"/>
          <w:color w:val="0C0C0C"/>
          <w:sz w:val="32"/>
          <w:szCs w:val="32"/>
        </w:rPr>
        <w:t>修建道路项目的实施，</w:t>
      </w:r>
      <w:r>
        <w:rPr>
          <w:rFonts w:hint="eastAsia" w:ascii="仿宋" w:hAnsi="仿宋" w:eastAsia="仿宋" w:cs="仿宋"/>
          <w:color w:val="0C0C0C"/>
          <w:sz w:val="32"/>
          <w:szCs w:val="32"/>
          <w:lang w:val="en-US" w:eastAsia="zh-CN"/>
        </w:rPr>
        <w:t>有效</w:t>
      </w:r>
      <w:r>
        <w:rPr>
          <w:rFonts w:hint="eastAsia" w:ascii="仿宋" w:hAnsi="仿宋" w:eastAsia="仿宋" w:cs="仿宋"/>
          <w:color w:val="0C0C0C"/>
          <w:sz w:val="32"/>
          <w:szCs w:val="32"/>
        </w:rPr>
        <w:t>减少了出行能耗。</w:t>
      </w:r>
      <w:r>
        <w:rPr>
          <w:rFonts w:hint="eastAsia" w:ascii="仿宋" w:hAnsi="仿宋" w:eastAsia="仿宋" w:cs="仿宋"/>
          <w:color w:val="0C0C0C"/>
          <w:sz w:val="32"/>
          <w:szCs w:val="32"/>
          <w:lang w:val="en-US" w:eastAsia="zh-CN"/>
        </w:rPr>
        <w:t>生态效益指标</w:t>
      </w:r>
      <w:r>
        <w:rPr>
          <w:rFonts w:hint="eastAsia" w:ascii="仿宋" w:hAnsi="仿宋" w:eastAsia="仿宋" w:cs="仿宋"/>
          <w:b w:val="0"/>
          <w:bCs/>
          <w:color w:val="0C0C0C"/>
          <w:sz w:val="32"/>
          <w:szCs w:val="32"/>
          <w:lang w:val="en-US" w:eastAsia="zh-CN"/>
        </w:rPr>
        <w:t>总权衡分值6分，得分6分。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0C0C0C"/>
          <w:sz w:val="32"/>
          <w:szCs w:val="32"/>
        </w:rPr>
      </w:pPr>
      <w:r>
        <w:rPr>
          <w:rFonts w:hint="eastAsia" w:ascii="仿宋" w:hAnsi="仿宋" w:eastAsia="仿宋" w:cs="仿宋"/>
          <w:color w:val="0C0C0C"/>
          <w:sz w:val="32"/>
          <w:szCs w:val="32"/>
          <w:lang w:val="en-US" w:eastAsia="zh-CN"/>
        </w:rPr>
        <w:t>4.</w:t>
      </w:r>
      <w:r>
        <w:rPr>
          <w:rFonts w:hint="eastAsia" w:ascii="仿宋" w:hAnsi="仿宋" w:eastAsia="仿宋" w:cs="仿宋"/>
          <w:color w:val="0C0C0C"/>
          <w:sz w:val="32"/>
          <w:szCs w:val="32"/>
        </w:rPr>
        <w:t>项目实施的可持续影响分析</w:t>
      </w:r>
    </w:p>
    <w:p>
      <w:pPr>
        <w:keepLines w:val="0"/>
        <w:pageBreakBefore w:val="0"/>
        <w:kinsoku/>
        <w:wordWrap/>
        <w:overflowPunct/>
        <w:topLinePunct w:val="0"/>
        <w:autoSpaceDE/>
        <w:autoSpaceDN/>
        <w:bidi w:val="0"/>
        <w:spacing w:line="560" w:lineRule="exact"/>
        <w:ind w:firstLine="640" w:firstLineChars="200"/>
        <w:textAlignment w:val="auto"/>
        <w:rPr>
          <w:rFonts w:ascii="仿宋" w:hAnsi="仿宋" w:eastAsia="仿宋" w:cs="仿宋"/>
          <w:b w:val="0"/>
          <w:bCs/>
          <w:color w:val="0C0C0C"/>
          <w:sz w:val="32"/>
          <w:szCs w:val="32"/>
        </w:rPr>
      </w:pPr>
      <w:r>
        <w:rPr>
          <w:rFonts w:hint="eastAsia" w:ascii="仿宋" w:hAnsi="仿宋" w:eastAsia="仿宋" w:cs="仿宋"/>
          <w:b w:val="0"/>
          <w:bCs/>
          <w:color w:val="0C0C0C"/>
          <w:sz w:val="32"/>
          <w:szCs w:val="32"/>
        </w:rPr>
        <w:t>可持续影响指标</w:t>
      </w:r>
      <w:r>
        <w:rPr>
          <w:rFonts w:hint="eastAsia" w:ascii="仿宋" w:hAnsi="仿宋" w:eastAsia="仿宋" w:cs="仿宋"/>
          <w:b w:val="0"/>
          <w:bCs/>
          <w:color w:val="0C0C0C"/>
          <w:sz w:val="32"/>
          <w:szCs w:val="32"/>
          <w:lang w:eastAsia="zh-CN"/>
        </w:rPr>
        <w:t>：</w:t>
      </w:r>
      <w:r>
        <w:rPr>
          <w:rFonts w:hint="eastAsia" w:ascii="仿宋" w:hAnsi="仿宋" w:eastAsia="仿宋" w:cs="仿宋"/>
          <w:b w:val="0"/>
          <w:bCs/>
          <w:color w:val="0C0C0C"/>
          <w:sz w:val="32"/>
          <w:szCs w:val="32"/>
        </w:rPr>
        <w:t>设计道路使用年限</w:t>
      </w:r>
      <w:r>
        <w:rPr>
          <w:rFonts w:hint="eastAsia" w:ascii="仿宋" w:hAnsi="仿宋" w:eastAsia="仿宋" w:cs="仿宋"/>
          <w:b w:val="0"/>
          <w:bCs/>
          <w:color w:val="0C0C0C"/>
          <w:sz w:val="32"/>
          <w:szCs w:val="32"/>
          <w:lang w:val="en-US" w:eastAsia="zh-CN"/>
        </w:rPr>
        <w:t>指标预期值≥8年，实际完成值8年，该指标权值分为6分，得分6分。</w:t>
      </w:r>
      <w:r>
        <w:rPr>
          <w:rFonts w:hint="eastAsia" w:ascii="仿宋" w:hAnsi="仿宋" w:eastAsia="仿宋" w:cs="仿宋"/>
          <w:b w:val="0"/>
          <w:bCs/>
          <w:color w:val="0C0C0C"/>
          <w:sz w:val="32"/>
          <w:szCs w:val="32"/>
        </w:rPr>
        <w:t>可持续影响指标</w:t>
      </w:r>
      <w:r>
        <w:rPr>
          <w:rFonts w:hint="eastAsia" w:ascii="仿宋" w:hAnsi="仿宋" w:eastAsia="仿宋" w:cs="仿宋"/>
          <w:b w:val="0"/>
          <w:bCs/>
          <w:color w:val="0C0C0C"/>
          <w:sz w:val="32"/>
          <w:szCs w:val="32"/>
          <w:lang w:val="en-US" w:eastAsia="zh-CN"/>
        </w:rPr>
        <w:t>总权衡分值6分，得分6分。</w:t>
      </w:r>
    </w:p>
    <w:p>
      <w:pPr>
        <w:keepLines w:val="0"/>
        <w:pageBreakBefore w:val="0"/>
        <w:kinsoku/>
        <w:wordWrap/>
        <w:overflowPunct/>
        <w:topLinePunct w:val="0"/>
        <w:autoSpaceDE/>
        <w:autoSpaceDN/>
        <w:bidi w:val="0"/>
        <w:spacing w:line="560" w:lineRule="exact"/>
        <w:ind w:firstLine="643" w:firstLineChars="200"/>
        <w:textAlignment w:val="auto"/>
        <w:outlineLvl w:val="2"/>
        <w:rPr>
          <w:rFonts w:hint="eastAsia" w:ascii="楷体" w:hAnsi="楷体" w:eastAsia="楷体" w:cs="楷体"/>
          <w:b/>
          <w:bCs/>
          <w:color w:val="0C0C0C"/>
          <w:sz w:val="32"/>
          <w:szCs w:val="32"/>
        </w:rPr>
      </w:pPr>
      <w:r>
        <w:rPr>
          <w:rFonts w:hint="eastAsia" w:ascii="楷体" w:hAnsi="楷体" w:eastAsia="楷体" w:cs="楷体"/>
          <w:b/>
          <w:bCs/>
          <w:color w:val="0C0C0C"/>
          <w:sz w:val="32"/>
          <w:szCs w:val="32"/>
          <w:lang w:eastAsia="zh-CN"/>
        </w:rPr>
        <w:t>（</w:t>
      </w:r>
      <w:r>
        <w:rPr>
          <w:rFonts w:hint="eastAsia" w:ascii="楷体" w:hAnsi="楷体" w:eastAsia="楷体" w:cs="楷体"/>
          <w:b/>
          <w:bCs/>
          <w:color w:val="0C0C0C"/>
          <w:sz w:val="32"/>
          <w:szCs w:val="32"/>
          <w:lang w:val="en-US" w:eastAsia="zh-CN"/>
        </w:rPr>
        <w:t>三）</w:t>
      </w:r>
      <w:r>
        <w:rPr>
          <w:rFonts w:hint="eastAsia" w:ascii="楷体" w:hAnsi="楷体" w:eastAsia="楷体" w:cs="楷体"/>
          <w:b/>
          <w:bCs/>
          <w:color w:val="0C0C0C"/>
          <w:sz w:val="32"/>
          <w:szCs w:val="32"/>
        </w:rPr>
        <w:t>满意度指标完成情况分析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color w:val="0C0C0C"/>
          <w:sz w:val="32"/>
          <w:szCs w:val="32"/>
        </w:rPr>
      </w:pPr>
      <w:r>
        <w:rPr>
          <w:rFonts w:hint="eastAsia" w:ascii="仿宋" w:hAnsi="仿宋" w:eastAsia="仿宋" w:cs="仿宋"/>
          <w:b w:val="0"/>
          <w:bCs/>
          <w:color w:val="0C0C0C"/>
          <w:sz w:val="32"/>
          <w:szCs w:val="32"/>
        </w:rPr>
        <w:t>服务对象满意度指标</w:t>
      </w:r>
      <w:r>
        <w:rPr>
          <w:rFonts w:hint="eastAsia" w:ascii="仿宋" w:hAnsi="仿宋" w:eastAsia="仿宋" w:cs="仿宋"/>
          <w:b w:val="0"/>
          <w:bCs/>
          <w:color w:val="0C0C0C"/>
          <w:sz w:val="32"/>
          <w:szCs w:val="32"/>
          <w:lang w:eastAsia="zh-CN"/>
        </w:rPr>
        <w:t>：</w:t>
      </w:r>
      <w:r>
        <w:rPr>
          <w:rFonts w:hint="eastAsia" w:ascii="仿宋" w:hAnsi="仿宋" w:eastAsia="仿宋" w:cs="仿宋"/>
          <w:b w:val="0"/>
          <w:bCs/>
          <w:color w:val="0C0C0C"/>
          <w:sz w:val="32"/>
          <w:szCs w:val="32"/>
        </w:rPr>
        <w:t>受益贫困人口满意度</w:t>
      </w:r>
      <w:r>
        <w:rPr>
          <w:rFonts w:hint="eastAsia" w:ascii="仿宋" w:hAnsi="仿宋" w:eastAsia="仿宋" w:cs="仿宋"/>
          <w:b w:val="0"/>
          <w:bCs/>
          <w:color w:val="0C0C0C"/>
          <w:sz w:val="32"/>
          <w:szCs w:val="32"/>
          <w:lang w:val="en-US" w:eastAsia="zh-CN"/>
        </w:rPr>
        <w:t>指标预期值≥95%，实际完成值95%。</w:t>
      </w:r>
      <w:r>
        <w:rPr>
          <w:rFonts w:hint="eastAsia" w:ascii="仿宋" w:hAnsi="仿宋" w:eastAsia="仿宋" w:cs="仿宋"/>
          <w:b w:val="0"/>
          <w:bCs/>
          <w:kern w:val="0"/>
          <w:sz w:val="32"/>
          <w:szCs w:val="32"/>
          <w:lang w:val="en-US" w:eastAsia="zh-CN"/>
        </w:rPr>
        <w:t>项目根据发放的满意度调查问卷</w:t>
      </w:r>
      <w:r>
        <w:rPr>
          <w:rFonts w:hint="eastAsia" w:ascii="仿宋" w:hAnsi="仿宋" w:eastAsia="仿宋" w:cs="仿宋"/>
          <w:b w:val="0"/>
          <w:bCs/>
          <w:color w:val="0C0C0C"/>
          <w:sz w:val="32"/>
          <w:szCs w:val="32"/>
        </w:rPr>
        <w:t>，受益贫困人口满意度达9</w:t>
      </w:r>
      <w:r>
        <w:rPr>
          <w:rFonts w:hint="eastAsia" w:ascii="仿宋" w:hAnsi="仿宋" w:eastAsia="仿宋" w:cs="仿宋"/>
          <w:b w:val="0"/>
          <w:bCs/>
          <w:color w:val="0C0C0C"/>
          <w:sz w:val="32"/>
          <w:szCs w:val="32"/>
          <w:lang w:val="en-US" w:eastAsia="zh-CN"/>
        </w:rPr>
        <w:t>5</w:t>
      </w:r>
      <w:r>
        <w:rPr>
          <w:rFonts w:hint="eastAsia" w:ascii="仿宋" w:hAnsi="仿宋" w:eastAsia="仿宋" w:cs="仿宋"/>
          <w:b w:val="0"/>
          <w:bCs/>
          <w:color w:val="0C0C0C"/>
          <w:sz w:val="32"/>
          <w:szCs w:val="32"/>
        </w:rPr>
        <w:t>%</w:t>
      </w:r>
      <w:r>
        <w:rPr>
          <w:rFonts w:hint="eastAsia" w:ascii="仿宋" w:hAnsi="仿宋" w:eastAsia="仿宋" w:cs="仿宋"/>
          <w:b w:val="0"/>
          <w:bCs/>
          <w:color w:val="0C0C0C"/>
          <w:sz w:val="32"/>
          <w:szCs w:val="32"/>
          <w:lang w:eastAsia="zh-CN"/>
        </w:rPr>
        <w:t>。</w:t>
      </w:r>
      <w:r>
        <w:rPr>
          <w:rFonts w:hint="eastAsia" w:ascii="仿宋" w:hAnsi="仿宋" w:eastAsia="仿宋" w:cs="仿宋"/>
          <w:b w:val="0"/>
          <w:bCs/>
          <w:color w:val="0C0C0C"/>
          <w:sz w:val="32"/>
          <w:szCs w:val="32"/>
          <w:lang w:val="en-US" w:eastAsia="zh-CN"/>
        </w:rPr>
        <w:t>该指标权值分为10分，得分10分，</w:t>
      </w:r>
      <w:r>
        <w:rPr>
          <w:rFonts w:hint="eastAsia" w:ascii="仿宋" w:hAnsi="仿宋" w:eastAsia="仿宋" w:cs="仿宋"/>
          <w:b w:val="0"/>
          <w:bCs/>
          <w:color w:val="0C0C0C"/>
          <w:sz w:val="32"/>
          <w:szCs w:val="32"/>
        </w:rPr>
        <w:t>服务对象满意度指标</w:t>
      </w:r>
      <w:r>
        <w:rPr>
          <w:rFonts w:hint="eastAsia" w:ascii="仿宋" w:hAnsi="仿宋" w:eastAsia="仿宋" w:cs="仿宋"/>
          <w:b w:val="0"/>
          <w:bCs/>
          <w:color w:val="0C0C0C"/>
          <w:sz w:val="32"/>
          <w:szCs w:val="32"/>
          <w:lang w:val="en-US" w:eastAsia="zh-CN"/>
        </w:rPr>
        <w:t>总权衡分值10分，得分10分。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黑体" w:hAnsi="黑体" w:eastAsia="黑体" w:cs="仿宋"/>
          <w:b w:val="0"/>
          <w:bCs w:val="0"/>
          <w:color w:val="0C0C0C"/>
          <w:sz w:val="32"/>
          <w:szCs w:val="32"/>
          <w:lang w:val="en-US" w:eastAsia="zh-CN"/>
        </w:rPr>
      </w:pPr>
      <w:r>
        <w:rPr>
          <w:rFonts w:hint="eastAsia" w:ascii="黑体" w:hAnsi="黑体" w:eastAsia="黑体" w:cs="仿宋"/>
          <w:b w:val="0"/>
          <w:bCs w:val="0"/>
          <w:color w:val="0C0C0C"/>
          <w:sz w:val="32"/>
          <w:szCs w:val="32"/>
          <w:lang w:val="en-US" w:eastAsia="zh-CN"/>
        </w:rPr>
        <w:t>五、项目绩效目标未完成的原因分析和改进措施</w:t>
      </w:r>
    </w:p>
    <w:p>
      <w:pPr>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该项目未按时限完成的原因是：因前期资金到位较少，导致施工标段未能整体推进，该项目完工时间由6月推迟至9月。</w:t>
      </w:r>
    </w:p>
    <w:p>
      <w:pPr>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项目建设数量未完成的原因是：部分标段完成招标后，在施工过程中，原规划修建路线中，部分村村民迁至新址，该路段无交通需求，故部分路段终止实施。</w:t>
      </w:r>
    </w:p>
    <w:p>
      <w:pPr>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今后对项目的实施计划编制应综合考虑多方面原因，坚决防止此类问题发生。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黑体" w:hAnsi="黑体" w:eastAsia="黑体" w:cs="仿宋"/>
          <w:b w:val="0"/>
          <w:bCs w:val="0"/>
          <w:color w:val="0C0C0C"/>
          <w:sz w:val="32"/>
          <w:szCs w:val="32"/>
          <w:lang w:val="en-US" w:eastAsia="zh-CN"/>
        </w:rPr>
      </w:pPr>
      <w:r>
        <w:rPr>
          <w:rFonts w:hint="eastAsia" w:ascii="黑体" w:hAnsi="黑体" w:eastAsia="黑体" w:cs="仿宋"/>
          <w:b w:val="0"/>
          <w:bCs w:val="0"/>
          <w:color w:val="0C0C0C"/>
          <w:sz w:val="32"/>
          <w:szCs w:val="32"/>
          <w:lang w:val="en-US" w:eastAsia="zh-CN"/>
        </w:rPr>
        <w:t>六、综合评价结论</w:t>
      </w:r>
    </w:p>
    <w:p>
      <w:pPr>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本次评价通过文件研读、实地调研、数据分析等方式，全面了解了项目资金的使用效率和效果，项目管理规范，按照实施方案完成了预期绩效目标。通过开展预算绩效管理和绩效自评工作，建立科学合理的绩效机制，客观准确的评价我单位项目绩效，不断完善绩效评价体系，加强监督检查和考核工作。同时，通过开展自我评价来总结经验,为今后同类项目的执行与实施提供了参考依据。</w:t>
      </w:r>
    </w:p>
    <w:p>
      <w:pPr>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sz w:val="32"/>
          <w:szCs w:val="32"/>
        </w:rPr>
      </w:pPr>
      <w:r>
        <w:rPr>
          <w:rFonts w:hint="eastAsia" w:ascii="仿宋" w:hAnsi="仿宋" w:eastAsia="仿宋" w:cs="仿宋"/>
          <w:color w:val="0C0C0C"/>
          <w:sz w:val="32"/>
          <w:szCs w:val="32"/>
        </w:rPr>
        <w:t>本项目绩效自评结果将根据上级要求时间予以公开，接受社会公众监督，</w:t>
      </w:r>
      <w:r>
        <w:rPr>
          <w:rFonts w:hint="eastAsia" w:ascii="仿宋" w:hAnsi="仿宋" w:eastAsia="仿宋" w:cs="仿宋"/>
          <w:color w:val="000000" w:themeColor="text1"/>
          <w:sz w:val="32"/>
          <w:szCs w:val="32"/>
          <w14:textFill>
            <w14:solidFill>
              <w14:schemeClr w14:val="tx1"/>
            </w14:solidFill>
          </w14:textFill>
        </w:rPr>
        <w:t>此项目综合评价93分。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黑体" w:hAnsi="黑体" w:eastAsia="黑体" w:cs="仿宋"/>
          <w:b w:val="0"/>
          <w:bCs w:val="0"/>
          <w:color w:val="0C0C0C"/>
          <w:sz w:val="32"/>
          <w:szCs w:val="32"/>
          <w:lang w:val="en-US" w:eastAsia="zh-CN"/>
        </w:rPr>
      </w:pPr>
      <w:r>
        <w:rPr>
          <w:rFonts w:hint="eastAsia" w:ascii="黑体" w:hAnsi="黑体" w:eastAsia="黑体" w:cs="仿宋"/>
          <w:b w:val="0"/>
          <w:bCs w:val="0"/>
          <w:color w:val="0C0C0C"/>
          <w:sz w:val="32"/>
          <w:szCs w:val="32"/>
          <w:lang w:val="en-US" w:eastAsia="zh-CN"/>
        </w:rPr>
        <w:t>七、项目实施的经验、问题、建议</w:t>
      </w:r>
    </w:p>
    <w:p>
      <w:pPr>
        <w:keepLines w:val="0"/>
        <w:pageBreakBefore w:val="0"/>
        <w:kinsoku/>
        <w:wordWrap/>
        <w:overflowPunct/>
        <w:topLinePunct w:val="0"/>
        <w:autoSpaceDE/>
        <w:autoSpaceDN/>
        <w:bidi w:val="0"/>
        <w:adjustRightInd w:val="0"/>
        <w:snapToGrid w:val="0"/>
        <w:spacing w:line="560" w:lineRule="exact"/>
        <w:ind w:firstLine="627" w:firstLineChars="200"/>
        <w:textAlignment w:val="auto"/>
        <w:outlineLvl w:val="2"/>
        <w:rPr>
          <w:rFonts w:hint="eastAsia" w:ascii="楷体" w:hAnsi="楷体" w:eastAsia="楷体" w:cs="楷体"/>
          <w:b/>
          <w:bCs w:val="0"/>
          <w:spacing w:val="-4"/>
          <w:sz w:val="32"/>
          <w:szCs w:val="32"/>
        </w:rPr>
      </w:pP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lang w:val="en-US" w:eastAsia="zh-CN"/>
        </w:rPr>
        <w:t>一</w:t>
      </w: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rPr>
        <w:t>主要经验及做法</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cs="仿宋"/>
          <w:bCs/>
          <w:spacing w:val="-4"/>
          <w:sz w:val="32"/>
          <w:szCs w:val="32"/>
        </w:rPr>
      </w:pPr>
      <w:r>
        <w:rPr>
          <w:rFonts w:hint="eastAsia" w:ascii="仿宋" w:hAnsi="仿宋" w:eastAsia="仿宋" w:cs="仿宋"/>
          <w:bCs/>
          <w:spacing w:val="-4"/>
          <w:sz w:val="32"/>
          <w:szCs w:val="32"/>
        </w:rPr>
        <w:t>为加快工程进度，交通运输局定期到施工工地检查工程质量、进度及安全生产工作情况，对于存在的问题做到及时主动协调，靠前服务。</w:t>
      </w:r>
    </w:p>
    <w:p>
      <w:pPr>
        <w:keepLines w:val="0"/>
        <w:pageBreakBefore w:val="0"/>
        <w:numPr>
          <w:ilvl w:val="0"/>
          <w:numId w:val="0"/>
        </w:numPr>
        <w:kinsoku/>
        <w:wordWrap/>
        <w:overflowPunct/>
        <w:topLinePunct w:val="0"/>
        <w:autoSpaceDE/>
        <w:autoSpaceDN/>
        <w:bidi w:val="0"/>
        <w:adjustRightInd w:val="0"/>
        <w:snapToGrid w:val="0"/>
        <w:spacing w:line="560" w:lineRule="exact"/>
        <w:ind w:firstLine="627" w:firstLineChars="200"/>
        <w:textAlignment w:val="auto"/>
        <w:outlineLvl w:val="2"/>
        <w:rPr>
          <w:rFonts w:hint="eastAsia" w:ascii="楷体" w:hAnsi="楷体" w:eastAsia="楷体" w:cs="楷体"/>
          <w:b/>
          <w:bCs w:val="0"/>
          <w:spacing w:val="-4"/>
          <w:sz w:val="32"/>
          <w:szCs w:val="32"/>
        </w:rPr>
      </w:pP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lang w:val="en-US" w:eastAsia="zh-CN"/>
        </w:rPr>
        <w:t>二</w:t>
      </w: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rPr>
        <w:t>存在的问题</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bCs/>
          <w:spacing w:val="-4"/>
          <w:sz w:val="32"/>
          <w:szCs w:val="32"/>
        </w:rPr>
      </w:pPr>
      <w:r>
        <w:rPr>
          <w:rFonts w:hint="eastAsia" w:ascii="仿宋" w:hAnsi="仿宋" w:eastAsia="仿宋" w:cs="仿宋"/>
          <w:color w:val="0C0C0C"/>
          <w:sz w:val="32"/>
          <w:szCs w:val="32"/>
        </w:rPr>
        <w:t>前期制定项目目标绩效时，因考虑不充分，指标设置不合理。</w:t>
      </w:r>
      <w:r>
        <w:rPr>
          <w:rFonts w:hint="eastAsia" w:ascii="仿宋" w:hAnsi="仿宋" w:eastAsia="仿宋" w:cs="仿宋"/>
          <w:bCs/>
          <w:spacing w:val="-4"/>
          <w:sz w:val="32"/>
          <w:szCs w:val="32"/>
        </w:rPr>
        <w:t>由于麦盖提县受地理环境限制，境内无任何公路建设砂石料，公路建设所需砂石料均需从150-230公里外的莎车县、巴楚县拉运，造成建设成本高，拉运砂石料困难，导致我县交通基础设施相对较落后。</w:t>
      </w:r>
    </w:p>
    <w:p>
      <w:pPr>
        <w:keepLines w:val="0"/>
        <w:pageBreakBefore w:val="0"/>
        <w:numPr>
          <w:ilvl w:val="0"/>
          <w:numId w:val="0"/>
        </w:numPr>
        <w:kinsoku/>
        <w:wordWrap/>
        <w:overflowPunct/>
        <w:topLinePunct w:val="0"/>
        <w:autoSpaceDE/>
        <w:autoSpaceDN/>
        <w:bidi w:val="0"/>
        <w:adjustRightInd w:val="0"/>
        <w:snapToGrid w:val="0"/>
        <w:spacing w:line="560" w:lineRule="exact"/>
        <w:ind w:firstLine="627" w:firstLineChars="200"/>
        <w:textAlignment w:val="auto"/>
        <w:outlineLvl w:val="2"/>
        <w:rPr>
          <w:rFonts w:hint="eastAsia" w:ascii="楷体" w:hAnsi="楷体" w:eastAsia="楷体" w:cs="楷体"/>
          <w:b/>
          <w:bCs w:val="0"/>
          <w:spacing w:val="-4"/>
          <w:sz w:val="32"/>
          <w:szCs w:val="32"/>
        </w:rPr>
      </w:pP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lang w:val="en-US" w:eastAsia="zh-CN"/>
        </w:rPr>
        <w:t>三</w:t>
      </w: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rPr>
        <w:t>建议</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bCs/>
          <w:spacing w:val="-4"/>
          <w:sz w:val="32"/>
          <w:szCs w:val="32"/>
        </w:rPr>
      </w:pPr>
      <w:r>
        <w:rPr>
          <w:rFonts w:hint="eastAsia" w:ascii="仿宋" w:hAnsi="仿宋" w:eastAsia="仿宋" w:cs="仿宋"/>
          <w:color w:val="0C0C0C"/>
          <w:sz w:val="32"/>
          <w:szCs w:val="32"/>
        </w:rPr>
        <w:t>建立科学合理的绩效机制，客观准确的评价我单位项目绩效，不断完善绩效评价体系，加强监督检查和考核工作。同时，通过开展自我评价来总结经验,为今后同类项目的执行与实施提供了参考依据。</w:t>
      </w:r>
      <w:r>
        <w:rPr>
          <w:rFonts w:hint="eastAsia" w:ascii="仿宋" w:hAnsi="仿宋" w:eastAsia="仿宋" w:cs="仿宋"/>
          <w:bCs/>
          <w:spacing w:val="-4"/>
          <w:sz w:val="32"/>
          <w:szCs w:val="32"/>
        </w:rPr>
        <w:t>进一步加大农村公路建设项目资金投入。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黑体" w:hAnsi="黑体" w:eastAsia="黑体" w:cs="仿宋"/>
          <w:b/>
          <w:bCs/>
          <w:color w:val="0C0C0C"/>
          <w:sz w:val="32"/>
          <w:szCs w:val="32"/>
          <w:lang w:val="en-US" w:eastAsia="zh-CN"/>
        </w:rPr>
      </w:pPr>
      <w:r>
        <w:rPr>
          <w:rFonts w:hint="eastAsia" w:ascii="黑体" w:hAnsi="黑体" w:eastAsia="黑体" w:cs="仿宋"/>
          <w:b/>
          <w:bCs/>
          <w:color w:val="0C0C0C"/>
          <w:sz w:val="32"/>
          <w:szCs w:val="32"/>
          <w:lang w:val="en-US" w:eastAsia="zh-CN"/>
        </w:rPr>
        <w:t>八、</w:t>
      </w:r>
      <w:r>
        <w:rPr>
          <w:rStyle w:val="18"/>
          <w:rFonts w:hint="eastAsia" w:ascii="黑体" w:hAnsi="黑体" w:eastAsia="黑体"/>
          <w:b w:val="0"/>
          <w:spacing w:val="-4"/>
          <w:sz w:val="32"/>
          <w:szCs w:val="32"/>
          <w:lang w:val="en-US" w:eastAsia="zh-CN"/>
        </w:rPr>
        <w:t>绩效评价工作有关说明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为了确保项目工程发挥长期效益，让农民长期受益，克服“重建设、轻管理，重使用、轻养护”的问题，做到建管结合，落实管护主体和相关责任，建立管护制度。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1.管护责任的落实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项目建成后, 交由各乡人民政府进行管养，从项目建设完工后的三个月后,就必须开始到养护地点进行养护，由群众监督,出现问提相关村委会汇报,由村委会进行调查处理,要求养护人员迅速落实.对拒绝落实的,应立即更换辨护人员.做到责任明确,落实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2.管护标准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工程项目竣工后，明确所有权，落实养护责任主体。由村级组织负责组织村民对所有的工程定期进行维护保养，保证工程正常、永久使用。道路工程的管护标准：路面平直、平整、无杂物，保持畅通。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3.创新管护运行机制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制定并认真落实奖惩制度。对损坏工程、项目自然村要及时进行维修，检查后仍不整改的，必须按照“村规民约”进行相应处罚。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4.搞好项目建成后管护的宣传工作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0C0C0C"/>
          <w:sz w:val="32"/>
          <w:szCs w:val="32"/>
        </w:rPr>
      </w:pPr>
      <w:r>
        <w:rPr>
          <w:rFonts w:hint="eastAsia" w:ascii="仿宋" w:hAnsi="仿宋" w:eastAsia="仿宋" w:cs="仿宋"/>
          <w:color w:val="0C0C0C"/>
          <w:sz w:val="32"/>
          <w:szCs w:val="32"/>
        </w:rPr>
        <w:t>各项目自然村、组要利用广播、电视、墙报、黑板报等形式，对项目管护的重要性进行宣传，提高项目区农民认识和管护的自觉性，做到家喻户晓，形成人人爱工程、管工程的良好氛围，最大限度地提高项目设施的利用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仿宋"/>
          <w:b w:val="0"/>
          <w:bCs w:val="0"/>
          <w:color w:val="0C0C0C"/>
          <w:sz w:val="32"/>
          <w:szCs w:val="32"/>
        </w:rPr>
      </w:pPr>
      <w:r>
        <w:rPr>
          <w:rFonts w:hint="eastAsia" w:ascii="黑体" w:hAnsi="黑体" w:eastAsia="黑体" w:cs="仿宋"/>
          <w:b w:val="0"/>
          <w:bCs w:val="0"/>
          <w:color w:val="0C0C0C"/>
          <w:sz w:val="32"/>
          <w:szCs w:val="32"/>
          <w:lang w:val="en-US" w:eastAsia="zh-CN"/>
        </w:rPr>
        <w:t>九</w:t>
      </w:r>
      <w:r>
        <w:rPr>
          <w:rFonts w:hint="eastAsia" w:ascii="黑体" w:hAnsi="黑体" w:eastAsia="黑体" w:cs="仿宋"/>
          <w:b w:val="0"/>
          <w:bCs w:val="0"/>
          <w:color w:val="0C0C0C"/>
          <w:sz w:val="32"/>
          <w:szCs w:val="32"/>
        </w:rPr>
        <w:t>、附表</w:t>
      </w:r>
    </w:p>
    <w:p>
      <w:pPr>
        <w:keepLines w:val="0"/>
        <w:pageBreakBefore w:val="0"/>
        <w:kinsoku/>
        <w:wordWrap/>
        <w:overflowPunct/>
        <w:topLinePunct w:val="0"/>
        <w:autoSpaceDE/>
        <w:autoSpaceDN/>
        <w:bidi w:val="0"/>
        <w:spacing w:line="560" w:lineRule="exact"/>
        <w:ind w:firstLine="643" w:firstLineChars="200"/>
        <w:textAlignment w:val="auto"/>
        <w:rPr>
          <w:rFonts w:hint="eastAsia" w:ascii="仿宋" w:hAnsi="仿宋" w:eastAsia="仿宋" w:cs="仿宋"/>
          <w:color w:val="000000"/>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绩效目标自评表</w:t>
      </w:r>
      <w:r>
        <w:rPr>
          <w:rFonts w:hint="eastAsia" w:ascii="仿宋" w:hAnsi="仿宋" w:eastAsia="仿宋" w:cs="仿宋"/>
          <w:b/>
          <w:bCs/>
          <w:color w:val="000000"/>
          <w:sz w:val="32"/>
          <w:szCs w:val="32"/>
        </w:rPr>
        <w:t>》</w:t>
      </w:r>
    </w:p>
    <w:p>
      <w:pPr>
        <w:spacing w:line="540" w:lineRule="exact"/>
        <w:rPr>
          <w:rStyle w:val="18"/>
          <w:rFonts w:ascii="仿宋" w:hAnsi="仿宋" w:eastAsia="仿宋"/>
          <w:b w:val="0"/>
          <w:spacing w:val="-4"/>
          <w:sz w:val="32"/>
          <w:szCs w:val="32"/>
        </w:rPr>
      </w:pPr>
    </w:p>
    <w:sectPr>
      <w:pgSz w:w="11906" w:h="16838"/>
      <w:pgMar w:top="1440" w:right="1558" w:bottom="1440" w:left="1800"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266C00-F0F1-42E1-99E1-9C863A0795E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000" w:usb1="00000000" w:usb2="00000000" w:usb3="00000000" w:csb0="00000000" w:csb1="00000000"/>
    <w:embedRegular r:id="rId2" w:fontKey="{53F33C13-81A4-4BC2-8559-C7045E5AB11B}"/>
  </w:font>
  <w:font w:name="方正小标宋_GBK">
    <w:panose1 w:val="03000509000000000000"/>
    <w:charset w:val="86"/>
    <w:family w:val="script"/>
    <w:pitch w:val="default"/>
    <w:sig w:usb0="00000000" w:usb1="00000000" w:usb2="00000000" w:usb3="00000000" w:csb0="00000000" w:csb1="00000000"/>
    <w:embedRegular r:id="rId3" w:fontKey="{0CCA4B8D-8D82-4AB9-968C-7A8EA7E559BB}"/>
  </w:font>
  <w:font w:name="仿宋">
    <w:panose1 w:val="02010609060101010101"/>
    <w:charset w:val="86"/>
    <w:family w:val="modern"/>
    <w:pitch w:val="default"/>
    <w:sig w:usb0="800002BF" w:usb1="38CF7CFA" w:usb2="00000016" w:usb3="00000000" w:csb0="00040001" w:csb1="00000000"/>
    <w:embedRegular r:id="rId4" w:fontKey="{27184382-94B1-4BDD-B7EE-7449B3B9042B}"/>
  </w:font>
  <w:font w:name="仿宋_GB2312">
    <w:panose1 w:val="02010609030101010101"/>
    <w:charset w:val="86"/>
    <w:family w:val="modern"/>
    <w:pitch w:val="default"/>
    <w:sig w:usb0="00000000" w:usb1="00000000" w:usb2="00000000" w:usb3="00000000" w:csb0="00000000" w:csb1="00000000"/>
    <w:embedRegular r:id="rId5" w:fontKey="{D771A16F-6D4E-44D1-9E86-C7DE9A2BE5F6}"/>
  </w:font>
  <w:font w:name="楷体_GB2312">
    <w:panose1 w:val="02010609030101010101"/>
    <w:charset w:val="86"/>
    <w:family w:val="modern"/>
    <w:pitch w:val="default"/>
    <w:sig w:usb0="00000000" w:usb1="00000000" w:usb2="00000000" w:usb3="00000000" w:csb0="00000000" w:csb1="00000000"/>
    <w:embedRegular r:id="rId6" w:fontKey="{F9111293-ADC1-442F-81A8-E1F5874B5355}"/>
  </w:font>
  <w:font w:name="楷体">
    <w:panose1 w:val="02010609060101010101"/>
    <w:charset w:val="86"/>
    <w:family w:val="modern"/>
    <w:pitch w:val="default"/>
    <w:sig w:usb0="800002BF" w:usb1="38CF7CFA" w:usb2="00000016" w:usb3="00000000" w:csb0="00040001" w:csb1="00000000"/>
    <w:embedRegular r:id="rId7" w:fontKey="{4165DC4E-D4FA-40E7-9DD4-58CF8402CAB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1A75"/>
    <w:rsid w:val="00104822"/>
    <w:rsid w:val="00121AE4"/>
    <w:rsid w:val="00146AAD"/>
    <w:rsid w:val="001B3A40"/>
    <w:rsid w:val="001C1D3A"/>
    <w:rsid w:val="0031249D"/>
    <w:rsid w:val="004366A8"/>
    <w:rsid w:val="004E1174"/>
    <w:rsid w:val="00502BA7"/>
    <w:rsid w:val="005162F1"/>
    <w:rsid w:val="00534681"/>
    <w:rsid w:val="00535153"/>
    <w:rsid w:val="00554F82"/>
    <w:rsid w:val="0055767F"/>
    <w:rsid w:val="0056390D"/>
    <w:rsid w:val="005719B0"/>
    <w:rsid w:val="005D10D6"/>
    <w:rsid w:val="006D76D2"/>
    <w:rsid w:val="007121D1"/>
    <w:rsid w:val="00855E3A"/>
    <w:rsid w:val="008D1AB1"/>
    <w:rsid w:val="00922CB9"/>
    <w:rsid w:val="00971C22"/>
    <w:rsid w:val="009E5CD9"/>
    <w:rsid w:val="00A10408"/>
    <w:rsid w:val="00A26421"/>
    <w:rsid w:val="00A4293B"/>
    <w:rsid w:val="00A67D50"/>
    <w:rsid w:val="00A8691A"/>
    <w:rsid w:val="00AC1946"/>
    <w:rsid w:val="00B40063"/>
    <w:rsid w:val="00B41F61"/>
    <w:rsid w:val="00BA46E6"/>
    <w:rsid w:val="00BE6B3A"/>
    <w:rsid w:val="00C35680"/>
    <w:rsid w:val="00C56C72"/>
    <w:rsid w:val="00CA6457"/>
    <w:rsid w:val="00D17F2E"/>
    <w:rsid w:val="00D30354"/>
    <w:rsid w:val="00D43D0C"/>
    <w:rsid w:val="00DE30B5"/>
    <w:rsid w:val="00DF42A0"/>
    <w:rsid w:val="00E305DF"/>
    <w:rsid w:val="00E769FE"/>
    <w:rsid w:val="00EA0CB3"/>
    <w:rsid w:val="00EA2CBE"/>
    <w:rsid w:val="00EF13E5"/>
    <w:rsid w:val="00F01CF7"/>
    <w:rsid w:val="00F32FEE"/>
    <w:rsid w:val="00F560B9"/>
    <w:rsid w:val="00FB10BB"/>
    <w:rsid w:val="04B77464"/>
    <w:rsid w:val="051D5343"/>
    <w:rsid w:val="05E34312"/>
    <w:rsid w:val="0BE0494C"/>
    <w:rsid w:val="0EA016B5"/>
    <w:rsid w:val="136966B9"/>
    <w:rsid w:val="14C33A7F"/>
    <w:rsid w:val="170B4A1A"/>
    <w:rsid w:val="186A301A"/>
    <w:rsid w:val="1B2E69D6"/>
    <w:rsid w:val="1B5D664F"/>
    <w:rsid w:val="1C6B5823"/>
    <w:rsid w:val="1C863D9D"/>
    <w:rsid w:val="1E3907FE"/>
    <w:rsid w:val="23904828"/>
    <w:rsid w:val="26CF4D89"/>
    <w:rsid w:val="2991208D"/>
    <w:rsid w:val="30CF76C6"/>
    <w:rsid w:val="316250DE"/>
    <w:rsid w:val="367128D9"/>
    <w:rsid w:val="3731149B"/>
    <w:rsid w:val="41F312F6"/>
    <w:rsid w:val="41FC7131"/>
    <w:rsid w:val="4652427E"/>
    <w:rsid w:val="47152591"/>
    <w:rsid w:val="4A061336"/>
    <w:rsid w:val="4E2E7900"/>
    <w:rsid w:val="4FB21462"/>
    <w:rsid w:val="55716482"/>
    <w:rsid w:val="581349D8"/>
    <w:rsid w:val="584B23C8"/>
    <w:rsid w:val="5894168A"/>
    <w:rsid w:val="5E610B44"/>
    <w:rsid w:val="61DE5DDE"/>
    <w:rsid w:val="63A14A15"/>
    <w:rsid w:val="66006576"/>
    <w:rsid w:val="6787568A"/>
    <w:rsid w:val="6B4D0BDF"/>
    <w:rsid w:val="6B9A5A4F"/>
    <w:rsid w:val="6D981950"/>
    <w:rsid w:val="6ED915DA"/>
    <w:rsid w:val="6FB07EE2"/>
    <w:rsid w:val="72004031"/>
    <w:rsid w:val="7B0A18E7"/>
    <w:rsid w:val="7B153892"/>
    <w:rsid w:val="7E2119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alloon Text"/>
    <w:basedOn w:val="1"/>
    <w:link w:val="47"/>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styleId="20">
    <w:name w:val="annotation reference"/>
    <w:qFormat/>
    <w:uiPriority w:val="0"/>
    <w:rPr>
      <w:sz w:val="21"/>
      <w:szCs w:val="21"/>
    </w:rPr>
  </w:style>
  <w:style w:type="character" w:customStyle="1" w:styleId="22">
    <w:name w:val="标题 1 字符"/>
    <w:basedOn w:val="17"/>
    <w:link w:val="3"/>
    <w:qFormat/>
    <w:uiPriority w:val="9"/>
    <w:rPr>
      <w:rFonts w:asciiTheme="majorHAnsi" w:hAnsiTheme="majorHAnsi" w:eastAsiaTheme="majorEastAsia"/>
      <w:b/>
      <w:bCs/>
      <w:kern w:val="32"/>
      <w:sz w:val="32"/>
      <w:szCs w:val="32"/>
    </w:rPr>
  </w:style>
  <w:style w:type="character" w:customStyle="1" w:styleId="23">
    <w:name w:val="标题 2 字符"/>
    <w:basedOn w:val="17"/>
    <w:link w:val="4"/>
    <w:semiHidden/>
    <w:qFormat/>
    <w:uiPriority w:val="9"/>
    <w:rPr>
      <w:rFonts w:asciiTheme="majorHAnsi" w:hAnsiTheme="majorHAnsi" w:eastAsiaTheme="majorEastAsia"/>
      <w:b/>
      <w:bCs/>
      <w:i/>
      <w:iCs/>
      <w:sz w:val="28"/>
      <w:szCs w:val="28"/>
    </w:rPr>
  </w:style>
  <w:style w:type="character" w:customStyle="1" w:styleId="24">
    <w:name w:val="标题 3 字符"/>
    <w:basedOn w:val="17"/>
    <w:link w:val="2"/>
    <w:semiHidden/>
    <w:qFormat/>
    <w:uiPriority w:val="9"/>
    <w:rPr>
      <w:rFonts w:asciiTheme="majorHAnsi" w:hAnsiTheme="majorHAnsi" w:eastAsiaTheme="majorEastAsia"/>
      <w:b/>
      <w:bCs/>
      <w:sz w:val="26"/>
      <w:szCs w:val="26"/>
    </w:rPr>
  </w:style>
  <w:style w:type="character" w:customStyle="1" w:styleId="25">
    <w:name w:val="标题 4 字符"/>
    <w:basedOn w:val="17"/>
    <w:link w:val="5"/>
    <w:semiHidden/>
    <w:qFormat/>
    <w:uiPriority w:val="9"/>
    <w:rPr>
      <w:b/>
      <w:bCs/>
      <w:sz w:val="28"/>
      <w:szCs w:val="28"/>
    </w:rPr>
  </w:style>
  <w:style w:type="character" w:customStyle="1" w:styleId="26">
    <w:name w:val="标题 5 字符"/>
    <w:basedOn w:val="17"/>
    <w:link w:val="6"/>
    <w:semiHidden/>
    <w:qFormat/>
    <w:uiPriority w:val="9"/>
    <w:rPr>
      <w:b/>
      <w:bCs/>
      <w:i/>
      <w:iCs/>
      <w:sz w:val="26"/>
      <w:szCs w:val="26"/>
    </w:rPr>
  </w:style>
  <w:style w:type="character" w:customStyle="1" w:styleId="27">
    <w:name w:val="标题 6 字符"/>
    <w:basedOn w:val="17"/>
    <w:link w:val="7"/>
    <w:semiHidden/>
    <w:qFormat/>
    <w:uiPriority w:val="9"/>
    <w:rPr>
      <w:b/>
      <w:bCs/>
    </w:rPr>
  </w:style>
  <w:style w:type="character" w:customStyle="1" w:styleId="28">
    <w:name w:val="标题 7 字符"/>
    <w:basedOn w:val="17"/>
    <w:link w:val="8"/>
    <w:semiHidden/>
    <w:qFormat/>
    <w:uiPriority w:val="9"/>
    <w:rPr>
      <w:sz w:val="24"/>
      <w:szCs w:val="24"/>
    </w:rPr>
  </w:style>
  <w:style w:type="character" w:customStyle="1" w:styleId="29">
    <w:name w:val="标题 8 字符"/>
    <w:basedOn w:val="17"/>
    <w:link w:val="9"/>
    <w:semiHidden/>
    <w:qFormat/>
    <w:uiPriority w:val="9"/>
    <w:rPr>
      <w:i/>
      <w:iCs/>
      <w:sz w:val="24"/>
      <w:szCs w:val="24"/>
    </w:rPr>
  </w:style>
  <w:style w:type="character" w:customStyle="1" w:styleId="30">
    <w:name w:val="标题 9 字符"/>
    <w:basedOn w:val="17"/>
    <w:link w:val="10"/>
    <w:semiHidden/>
    <w:qFormat/>
    <w:uiPriority w:val="9"/>
    <w:rPr>
      <w:rFonts w:asciiTheme="majorHAnsi" w:hAnsiTheme="majorHAnsi" w:eastAsiaTheme="majorEastAsia"/>
    </w:rPr>
  </w:style>
  <w:style w:type="character" w:customStyle="1" w:styleId="31">
    <w:name w:val="标题 字符"/>
    <w:basedOn w:val="17"/>
    <w:link w:val="16"/>
    <w:qFormat/>
    <w:uiPriority w:val="10"/>
    <w:rPr>
      <w:rFonts w:asciiTheme="majorHAnsi" w:hAnsiTheme="majorHAnsi" w:eastAsiaTheme="majorEastAsia"/>
      <w:b/>
      <w:bCs/>
      <w:kern w:val="28"/>
      <w:sz w:val="32"/>
      <w:szCs w:val="32"/>
    </w:rPr>
  </w:style>
  <w:style w:type="character" w:customStyle="1" w:styleId="32">
    <w:name w:val="副标题 字符"/>
    <w:basedOn w:val="17"/>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7"/>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7"/>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7"/>
    <w:qFormat/>
    <w:uiPriority w:val="21"/>
    <w:rPr>
      <w:b/>
      <w:i/>
      <w:sz w:val="24"/>
      <w:szCs w:val="24"/>
      <w:u w:val="single"/>
    </w:rPr>
  </w:style>
  <w:style w:type="character" w:customStyle="1" w:styleId="41">
    <w:name w:val="不明显参考1"/>
    <w:basedOn w:val="17"/>
    <w:qFormat/>
    <w:uiPriority w:val="31"/>
    <w:rPr>
      <w:sz w:val="24"/>
      <w:szCs w:val="24"/>
      <w:u w:val="single"/>
    </w:rPr>
  </w:style>
  <w:style w:type="character" w:customStyle="1" w:styleId="42">
    <w:name w:val="明显参考1"/>
    <w:basedOn w:val="17"/>
    <w:qFormat/>
    <w:uiPriority w:val="32"/>
    <w:rPr>
      <w:b/>
      <w:sz w:val="24"/>
      <w:u w:val="single"/>
    </w:rPr>
  </w:style>
  <w:style w:type="character" w:customStyle="1" w:styleId="43">
    <w:name w:val="书籍标题1"/>
    <w:basedOn w:val="17"/>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7"/>
    <w:link w:val="14"/>
    <w:qFormat/>
    <w:uiPriority w:val="99"/>
    <w:rPr>
      <w:rFonts w:ascii="Calibri" w:hAnsi="Calibri" w:eastAsia="宋体"/>
      <w:kern w:val="2"/>
      <w:sz w:val="18"/>
      <w:szCs w:val="18"/>
    </w:rPr>
  </w:style>
  <w:style w:type="character" w:customStyle="1" w:styleId="46">
    <w:name w:val="页脚 字符"/>
    <w:basedOn w:val="17"/>
    <w:link w:val="13"/>
    <w:qFormat/>
    <w:uiPriority w:val="99"/>
    <w:rPr>
      <w:rFonts w:ascii="Calibri" w:hAnsi="Calibri"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character" w:customStyle="1" w:styleId="48">
    <w:name w:val="font41"/>
    <w:basedOn w:val="17"/>
    <w:qFormat/>
    <w:uiPriority w:val="0"/>
    <w:rPr>
      <w:rFonts w:hint="eastAsia" w:ascii="宋体" w:hAnsi="宋体" w:eastAsia="宋体" w:cs="宋体"/>
      <w:color w:val="000000"/>
      <w:sz w:val="32"/>
      <w:szCs w:val="32"/>
      <w:u w:val="none"/>
    </w:rPr>
  </w:style>
  <w:style w:type="character" w:customStyle="1" w:styleId="49">
    <w:name w:val="font51"/>
    <w:basedOn w:val="17"/>
    <w:qFormat/>
    <w:uiPriority w:val="0"/>
    <w:rPr>
      <w:rFonts w:hint="default" w:ascii="Times New Roman" w:hAnsi="Times New Roman" w:cs="Times New Roman"/>
      <w:color w:val="000000"/>
      <w:sz w:val="21"/>
      <w:szCs w:val="21"/>
      <w:u w:val="none"/>
    </w:rPr>
  </w:style>
  <w:style w:type="character" w:customStyle="1" w:styleId="50">
    <w:name w:val="font31"/>
    <w:basedOn w:val="1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955</Words>
  <Characters>5450</Characters>
  <Lines>45</Lines>
  <Paragraphs>12</Paragraphs>
  <TotalTime>13</TotalTime>
  <ScaleCrop>false</ScaleCrop>
  <LinksUpToDate>false</LinksUpToDate>
  <CharactersWithSpaces>6393</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2019-10-31T09:41:00Z</dcterms:created>
  <dc:creator>赵 恺（预算处）</dc:creator>
  <cp:lastModifiedBy>Administrator</cp:lastModifiedBy>
  <cp:lastPrinted>2019-01-03T11:26:00Z</cp:lastPrinted>
  <dcterms:modified xsi:type="dcterms:W3CDTF">2020-08-23T06:10:28Z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