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新疆喀什地区麦盖提县残疾人联合会2019年度部门决算公开说明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1、密切联系残疾人，听取残疾人意见，反映残疾人需求，全心全意为残疾人服务。</w:t>
      </w:r>
    </w:p>
    <w:p>
      <w:pPr>
        <w:ind w:firstLine="480"/>
        <w:jc w:val="both"/>
      </w:pPr>
      <w:r>
        <w:rPr>
          <w:rFonts w:ascii="仿宋_GB2312" w:hAnsi="仿宋_GB2312" w:cs="仿宋_GB2312" w:eastAsia="仿宋_GB2312"/>
          <w:b w:val="false"/>
          <w:sz w:val="32"/>
        </w:rPr>
        <w:t>2、团结，教育残疾人，遵守法律，履行应尽义务，发扬乐观进取精神，自尊，自信，自强，自立，为现代化建设贡献力量。</w:t>
      </w:r>
    </w:p>
    <w:p>
      <w:pPr>
        <w:ind w:firstLine="480"/>
        <w:jc w:val="both"/>
      </w:pPr>
      <w:r>
        <w:rPr>
          <w:rFonts w:ascii="仿宋_GB2312" w:hAnsi="仿宋_GB2312" w:cs="仿宋_GB2312" w:eastAsia="仿宋_GB2312"/>
          <w:b w:val="false"/>
          <w:sz w:val="32"/>
        </w:rPr>
        <w:t>3、弘扬人道主义，宣传残疾人事业，沟通政府，社会与残疾人之间的联系，动员社会理解、尊重、关心帮助残疾人。</w:t>
      </w:r>
    </w:p>
    <w:p>
      <w:pPr>
        <w:ind w:firstLine="480"/>
        <w:jc w:val="both"/>
      </w:pPr>
      <w:r>
        <w:rPr>
          <w:rFonts w:ascii="仿宋_GB2312" w:hAnsi="仿宋_GB2312" w:cs="仿宋_GB2312" w:eastAsia="仿宋_GB2312"/>
          <w:b w:val="false"/>
          <w:sz w:val="32"/>
        </w:rPr>
        <w:t>4、完成县委、政府交办的其他任务。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新疆喀什地区麦盖提县残疾人联合会2019年度，实有人数13人，其中：在职人员7人，离休人员0人，退休人员6人。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从部门决算单位构成看，新疆喀什地区麦盖提县残疾人联合会部门决算包括：新疆喀什地区麦盖提县残疾人联合会决算。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280.38万元，与上年相比，增加103.98万元，增长58.95%，主要原因是：上级专项资金较去年增加。本年支出305.40万元，与上年相比，增加154.05万元，增长101.78%，主要原因是：上级专项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2019年度本年收入280.38万元，其中：财政拨款收入280.38万元，占100%；上级补助收入0万元，占0%；事业收入0万元，占0%；经营收入0万元，占0%；附属单位上缴收入0万元，占0%；其他收入0万元，占0%。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2019年度本年支出305.40万元，其中：基本支出112.92万元，占36.97%；项目支出192.48万元，占63.03%；上缴上级支出0万元，占0%；经营支出0万元，占0%；对附属单位补助支出0万元，占0%。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280.38万元，与上年相比，增加103.98万元，增长58.95%，主要原因是：上级专项资金较去年增加。财政拨款支出305.40万元，与上年相比，增加154.05万元，增长101.78%，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115.33万元，决算数280.38万元，预决算差异率143.11%，主要原因是：年初预算无法预计年中到达的部分专项资金，待资金实际到达后，通过预算追加的方式下达单位，因此决算数大于预算数。财政拨款支出年初预算数115.33万元，决算数305.40万元，预决算差异率164.81%，主要原因是：年初预算无法预计年中到达的部分专项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2019年度一般公共预算财政拨款支出250.47万元。按功能分类科目项级科目公开，其中：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2080505机关事业单位基本养老保险缴费支出10.85万元；</w:t>
      </w:r>
    </w:p>
    <w:p>
      <w:pPr>
        <w:ind w:firstLine="480"/>
        <w:jc w:val="both"/>
      </w:pPr>
      <w:r>
        <w:rPr>
          <w:rFonts w:ascii="仿宋_GB2312" w:hAnsi="仿宋_GB2312" w:cs="仿宋_GB2312" w:eastAsia="仿宋_GB2312"/>
          <w:b w:val="false"/>
          <w:sz w:val="32"/>
        </w:rPr>
        <w:t xml:space="preserve">   2081101行政运行支出94.23万元；</w:t>
      </w:r>
    </w:p>
    <w:p>
      <w:pPr>
        <w:ind w:firstLine="480"/>
        <w:jc w:val="both"/>
      </w:pPr>
      <w:r>
        <w:rPr>
          <w:rFonts w:ascii="仿宋_GB2312" w:hAnsi="仿宋_GB2312" w:cs="仿宋_GB2312" w:eastAsia="仿宋_GB2312"/>
          <w:b w:val="false"/>
          <w:sz w:val="32"/>
        </w:rPr>
        <w:t xml:space="preserve">   2081104残疾人康复支出91.73万元；</w:t>
      </w:r>
    </w:p>
    <w:p>
      <w:pPr>
        <w:ind w:firstLine="480"/>
        <w:jc w:val="both"/>
      </w:pPr>
      <w:r>
        <w:rPr>
          <w:rFonts w:ascii="仿宋_GB2312" w:hAnsi="仿宋_GB2312" w:cs="仿宋_GB2312" w:eastAsia="仿宋_GB2312"/>
          <w:b w:val="false"/>
          <w:sz w:val="32"/>
        </w:rPr>
        <w:t xml:space="preserve">   2081105残疾人就业和扶贫支出27.18万元；</w:t>
      </w:r>
    </w:p>
    <w:p>
      <w:pPr>
        <w:ind w:firstLine="480"/>
        <w:jc w:val="both"/>
      </w:pPr>
      <w:r>
        <w:rPr>
          <w:rFonts w:ascii="仿宋_GB2312" w:hAnsi="仿宋_GB2312" w:cs="仿宋_GB2312" w:eastAsia="仿宋_GB2312"/>
          <w:b w:val="false"/>
          <w:sz w:val="32"/>
        </w:rPr>
        <w:t xml:space="preserve">   2081199其他残疾人事业支出18.64万元；</w:t>
      </w:r>
    </w:p>
    <w:p>
      <w:pPr>
        <w:ind w:firstLine="480"/>
        <w:jc w:val="both"/>
      </w:pPr>
      <w:r>
        <w:rPr>
          <w:rFonts w:ascii="仿宋_GB2312" w:hAnsi="仿宋_GB2312" w:cs="仿宋_GB2312" w:eastAsia="仿宋_GB2312"/>
          <w:b w:val="false"/>
          <w:sz w:val="32"/>
        </w:rPr>
        <w:t xml:space="preserve">   2210201住房公积金支出7.84万元。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2019年度一般公共预算财政拨款基本支出112.92万元，其中：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人员经费103.22万元，包括：基本工资、津贴补贴、奖金、机关事业单位基本养老保险缴费、职工基本医疗保险缴费、公务员医疗补助缴费、其他社会保障缴费、住房公积金、退休费。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公用经费9.70万元，包括：办公费、印刷费、邮电费、取暖费、差旅费、公务接待费、委托业务费、公务用车运行维护费。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2.08万元，比上年增加1.66万元，增长395.24%，主要原因是上级专项资金增加，为了开展专项业务活动，车辆使用频繁，燃油费等增加。其中，因公出国（境）费支出0万元，占0%，比上年增加0万元，增长0%，主要原因是与上年相比无变动，与上年一致；公务用车购置及运行维护费支出1.81万元，占87.02%，比上年增加1.39万元，增长330.95%，主要原因是上级专项资金增加，为了开展专项业务活动，车辆使用频繁，燃油费等增加；公务接待费支出0.27万元，占12.98%，比上年增加0.27万元，增长100%，主要原因是上级加大了残疾人就业和扶贫项目的检查力度与频次，为做好迎检工作，相关接待费较去年增加。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公务用车购置及运行维护费1.81万元，其中，公务用车购置费0万元，公务用车运行维护费1.81万元。公务用车运行维护费开支内容包括燃油费、维修费、保险费。公务用车购置数0辆，公务用车保有量1辆。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公务接待费0.27万元，开支内容包括住宿费，伙食费。单位全年安排的国内公务接待3批次，9人次。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2.08万元，预决算差异率100%，主要原因是：年初预算未安排，年中为开展专项业务工作需使用车辆追加预算，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1.81万元，预决算差异率100%，主要原因是：年初预算未安排，年中为开展专项业务工作需使用车辆追加预算，因此决算数大于年初预算数；公务接待费预算数0万元，决算数0.27万元，预决算差异率100%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54.93万元，与上年相比，增加29.81万元，增长118.67%，主要原因是：上级专项资金较去年增加。政府性基金预算支出54.93万元，与上年相比，增加29.81万元，增长118.67%，主要原因是：上级专项资金较去年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2019年度新疆喀什地区麦盖提县残疾人联合会机关运行经费支出9.70万元，比上年增加7万元，增长259.26%，主要原因是专项资金较去年增加，为开展专项业务工作所需的日常公用经费较去年增加。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2019年度政府采购支出总额46.73万元，其中：政府采购货物支出45.56万元、政府采购工程支出0万元、政府采购服务支出1.17万元。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授予中小企业合同金额1.17万元，占政府采购支出总额的2.5%，其中：授予小微企业合同金额1.17万元，占政府采购支出总额的2.5%。</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9.58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16.5962万元。预算绩效管理取得的成效：1、残疾人需求信息数据动态更新项目：已完成残疾人需求信息数据调查及系统录入工作、完成一年一次的专项调查工作，使残疾人切身体会党的关心关爱；2、精神病康复项目：与民政局康复收养中心合作，已使24名精神残疾人受益、与县人民医院疾控中心合作，已使16名精神病残疾人受益；3、寄宿制托养项目：通过与康复中心对接，根据被托养残疾人需求，购买衣物、米面油，生活物品，一定程度上提高了生活质量；4、精准康复服务配套项目；专业技术人员培训项目；社区康复协调员培训项目：精准康复服务配套项目，已经将分配方案及名额发至各卫生院，已完成500人的康复治疗。发现的问题及原因：无。下一步改进措施：按照国家政策法规规定，结合本部门的实际情况，建立健全了财务管理制度和约束机制，依法、有效地使用财政资金，提高财政资金使用效率，合理分配人、财、物，完成了部门职能目标，实现了较高的工作效率和支出绩效。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fRKUBx0LI9bne7Co0XUJ0g==" w:hash="N6MMo6TW+11pfhRfwAqnEATr0K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