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新疆喀什地区喀什麦盖提县妇幼保健站2019年度部门决算公开说明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480"/>
        <w:jc w:val="both"/>
      </w:pPr>
      <w:r>
        <w:rPr>
          <w:rFonts w:ascii="仿宋_GB2312" w:hAnsi="仿宋_GB2312" w:eastAsia="仿宋_GB2312" w:cs="仿宋_GB2312"/>
          <w:b w:val="0"/>
          <w:sz w:val="32"/>
        </w:rPr>
        <w:t>1、掌握本辖区妇女儿童健康状况及影响因素，制定本辖区妇幼卫生工作的相关政策、技术规范及各项规章制度。</w:t>
      </w:r>
    </w:p>
    <w:p>
      <w:pPr>
        <w:ind w:firstLine="480"/>
        <w:jc w:val="both"/>
      </w:pPr>
      <w:r>
        <w:rPr>
          <w:rFonts w:ascii="仿宋_GB2312" w:hAnsi="仿宋_GB2312" w:eastAsia="仿宋_GB2312" w:cs="仿宋_GB2312"/>
          <w:b w:val="0"/>
          <w:sz w:val="32"/>
        </w:rPr>
        <w:t>2、开展《中华人民共和国母婴保健法》及其实施办法和母婴保健有关的法律法规、规范、管理办法等的宣传、贯彻和落实。</w:t>
      </w:r>
    </w:p>
    <w:p>
      <w:pPr>
        <w:ind w:firstLine="480"/>
        <w:jc w:val="both"/>
      </w:pPr>
      <w:r>
        <w:rPr>
          <w:rFonts w:ascii="仿宋_GB2312" w:hAnsi="仿宋_GB2312" w:eastAsia="仿宋_GB2312" w:cs="仿宋_GB2312"/>
          <w:b w:val="0"/>
          <w:sz w:val="32"/>
        </w:rPr>
        <w:t>3、对辖区内母婴保健相关医学证件的领取、发放和使用、管理等进行督导检查。</w:t>
      </w:r>
    </w:p>
    <w:p>
      <w:pPr>
        <w:ind w:firstLine="480"/>
        <w:jc w:val="both"/>
      </w:pPr>
      <w:r>
        <w:rPr>
          <w:rFonts w:ascii="仿宋_GB2312" w:hAnsi="仿宋_GB2312" w:eastAsia="仿宋_GB2312" w:cs="仿宋_GB2312"/>
          <w:b w:val="0"/>
          <w:sz w:val="32"/>
        </w:rPr>
        <w:t>4、对本辖区各级各类医疗保健机构开展的妇幼卫生服务进行检查、考核与评价。</w:t>
      </w:r>
    </w:p>
    <w:p>
      <w:pPr>
        <w:ind w:firstLine="480"/>
        <w:jc w:val="both"/>
      </w:pPr>
      <w:r>
        <w:rPr>
          <w:rFonts w:ascii="仿宋_GB2312" w:hAnsi="仿宋_GB2312" w:eastAsia="仿宋_GB2312" w:cs="仿宋_GB2312"/>
          <w:b w:val="0"/>
          <w:sz w:val="32"/>
        </w:rPr>
        <w:t>5、负责指导基层妇幼保健工作和妇幼人员的培训，督导考核国家基本公共卫生服务项目实施单位的妇幼工作情况，完成好上报。</w:t>
      </w:r>
    </w:p>
    <w:p>
      <w:pPr>
        <w:ind w:firstLine="480"/>
        <w:jc w:val="both"/>
      </w:pPr>
      <w:r>
        <w:rPr>
          <w:rFonts w:ascii="仿宋_GB2312" w:hAnsi="仿宋_GB2312" w:eastAsia="仿宋_GB2312" w:cs="仿宋_GB2312"/>
          <w:b w:val="0"/>
          <w:sz w:val="32"/>
        </w:rPr>
        <w:t>6、负责本辖区孕产妇死亡、婴儿及5岁以下儿童死亡出生缺陷监测，做好妇幼卫生服务及技术管理等信息的收集、管理、统计、分析、分析、质量控制和汇总上报。</w:t>
      </w:r>
    </w:p>
    <w:p>
      <w:pPr>
        <w:ind w:firstLine="480"/>
        <w:jc w:val="both"/>
      </w:pPr>
      <w:r>
        <w:rPr>
          <w:rFonts w:ascii="仿宋_GB2312" w:hAnsi="仿宋_GB2312" w:eastAsia="仿宋_GB2312" w:cs="仿宋_GB2312"/>
          <w:b w:val="0"/>
          <w:sz w:val="32"/>
        </w:rPr>
        <w:t>7、开展妇女保健服务，包括青春期保健、婚前和孕前保健、孕产期保健、更年期保健、老年期保健、重点加强心理卫生咨询，营养指导、计划生育技术服务，生殖道感染，性传播疾病等妇女常见病防治。</w:t>
      </w:r>
    </w:p>
    <w:p>
      <w:pPr>
        <w:ind w:firstLine="480"/>
        <w:jc w:val="both"/>
      </w:pPr>
      <w:r>
        <w:rPr>
          <w:rFonts w:ascii="仿宋_GB2312" w:hAnsi="仿宋_GB2312" w:eastAsia="仿宋_GB2312" w:cs="仿宋_GB2312"/>
          <w:b w:val="0"/>
          <w:sz w:val="32"/>
        </w:rPr>
        <w:t>8、开展儿童保健服务，包括胎儿期，新生儿期，婴幼儿期，学龄前期及学龄期保健，受卫生行政部门委托对幼儿园所卫生保健进行管理和业务指导，重点加强儿童早期综合发展，营养与喂养指导，生长发育监测，心里行为咨询，儿童疾病综合管理等儿童保健服务。</w:t>
      </w:r>
    </w:p>
    <w:p>
      <w:pPr>
        <w:ind w:firstLine="480"/>
        <w:jc w:val="both"/>
      </w:pPr>
      <w:r>
        <w:rPr>
          <w:rFonts w:ascii="仿宋_GB2312" w:hAnsi="仿宋_GB2312" w:eastAsia="仿宋_GB2312" w:cs="仿宋_GB2312"/>
          <w:b w:val="0"/>
          <w:sz w:val="32"/>
        </w:rPr>
        <w:t>9、向居民群众提供妇女儿童常见疾病诊治，计划生育技术服务，产前筛查，新生儿疾病筛查，助产技术服务等医疗服务，根据需要和条件，开展产前诊断，产科并发症处理，新生儿危重症抢救和治疗等。</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新疆喀什地区喀什麦盖提县妇幼保健站2019年度，实有人数38人，其中：在职人员24人，离休人员0人，退休人员14人。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从部门决算单位构成看，新疆喀什地区喀什麦盖提县妇幼保健站部门决算包括：新疆喀什地区喀什麦盖提县妇幼保健站决算。</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2019年度本年收入740.52万元，与上年相比，增加35.46万元，增长5.03%，主要原因是：事业收入较去年大幅增长。本年支出745.70万元，与上年相比，增加136.77万元，增长22.46%，主要原因是：事业收入较去年大幅增长。</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2019年度本年收入740.52万元，其中：财政拨款收入353.30万元，占47.71%；上级补助收入0万元，占0%；事业收入113.86万元，占15.38%；经营收入0万元，占0%；附属单位上缴收入0万元，占0%；其他收入273.35万元，占36.91%。</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2019年度本年支出745.70万元，其中：基本支出682.53万元，占91.53%；项目支出63.17万元，占8.47%；上缴上级支出0万元，占0%；经营支出0万元，占0%；对附属单位补助支出0万元，占0%。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353.30万元，与上年相比，减少31.09万元，下降8.09%，主要原因是：上级专项资金较去年减少。财政拨款支出363.68万元，与上年相比，增加56.72万元，增长18.48%，主要原因是：去年项目结转资金在今年拨付，因此财政拨款支出较去年增长。</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348.32万元，决算数353.30万元，预决算差异率1.43%，主要原因是：在职人员新增1人，相应人员经费及公用经费均增加，因此决算数大于年初预算数。财政拨款支出年初预算数348.32万元，决算数363.68万元，预决算差异率4.41%，主要原因是：在职人员新增1人，相应人员经费及公用经费均增加，因此决算数大于年初预算数。</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2019年度一般公共预算财政拨款支出363.68万元。按功能分类科目项级科目公开，其中：</w:t>
      </w:r>
    </w:p>
    <w:p>
      <w:pPr>
        <w:ind w:firstLine="480"/>
        <w:jc w:val="both"/>
      </w:pPr>
      <w:r>
        <w:rPr>
          <w:rFonts w:ascii="仿宋_GB2312" w:hAnsi="仿宋_GB2312" w:eastAsia="仿宋_GB2312" w:cs="仿宋_GB2312"/>
          <w:b w:val="0"/>
          <w:sz w:val="32"/>
        </w:rPr>
        <w:t xml:space="preserve">   2080505机关事业单位基本养老保险缴费支出29.30万元；</w:t>
      </w:r>
    </w:p>
    <w:p>
      <w:pPr>
        <w:ind w:firstLine="480"/>
        <w:jc w:val="both"/>
      </w:pPr>
      <w:r>
        <w:rPr>
          <w:rFonts w:ascii="仿宋_GB2312" w:hAnsi="仿宋_GB2312" w:eastAsia="仿宋_GB2312" w:cs="仿宋_GB2312"/>
          <w:b w:val="0"/>
          <w:sz w:val="32"/>
        </w:rPr>
        <w:t xml:space="preserve">   2080506机关事业单位职业年金缴费支出3.70万元；</w:t>
      </w:r>
    </w:p>
    <w:p>
      <w:pPr>
        <w:ind w:firstLine="480"/>
        <w:jc w:val="both"/>
      </w:pPr>
      <w:r>
        <w:rPr>
          <w:rFonts w:ascii="仿宋_GB2312" w:hAnsi="仿宋_GB2312" w:eastAsia="仿宋_GB2312" w:cs="仿宋_GB2312"/>
          <w:b w:val="0"/>
          <w:sz w:val="32"/>
        </w:rPr>
        <w:t xml:space="preserve">   2100403妇幼保健机构支出267.51万元；</w:t>
      </w:r>
    </w:p>
    <w:p>
      <w:pPr>
        <w:ind w:firstLine="480"/>
        <w:jc w:val="both"/>
      </w:pPr>
      <w:r>
        <w:rPr>
          <w:rFonts w:ascii="仿宋_GB2312" w:hAnsi="仿宋_GB2312" w:eastAsia="仿宋_GB2312" w:cs="仿宋_GB2312"/>
          <w:b w:val="0"/>
          <w:sz w:val="32"/>
        </w:rPr>
        <w:t xml:space="preserve">   2100408基本公共卫生服务支出45.75万元；</w:t>
      </w:r>
    </w:p>
    <w:p>
      <w:pPr>
        <w:ind w:firstLine="480"/>
        <w:jc w:val="both"/>
      </w:pPr>
      <w:r>
        <w:rPr>
          <w:rFonts w:ascii="仿宋_GB2312" w:hAnsi="仿宋_GB2312" w:eastAsia="仿宋_GB2312" w:cs="仿宋_GB2312"/>
          <w:b w:val="0"/>
          <w:sz w:val="32"/>
        </w:rPr>
        <w:t xml:space="preserve">   2100409重大公共卫生专项支出17.42万元。</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2019年度一般公共预算财政拨款基本支出300.51万元，其中：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人员经费285.96万元，包括：基本工资、津贴补贴、奖金、绩效工资、机关事业单位基本养老保险缴费、职业年金缴费、职工基本医疗保险缴费、其他社会保障缴费、住房公积金、退休费、生活补助。</w:t>
      </w:r>
    </w:p>
    <w:p>
      <w:pPr>
        <w:ind w:firstLine="640" w:firstLineChars="200"/>
        <w:rPr>
          <w:rFonts w:ascii="仿宋_GB2312" w:eastAsia="仿宋_GB2312"/>
          <w:sz w:val="32"/>
          <w:szCs w:val="32"/>
        </w:rPr>
      </w:pPr>
      <w:r>
        <w:rPr>
          <w:rFonts w:ascii="仿宋_GB2312" w:hAnsi="仿宋_GB2312" w:eastAsia="仿宋_GB2312" w:cs="仿宋_GB2312"/>
          <w:sz w:val="32"/>
        </w:rPr>
        <w:t>公用经费14.56万元，包括：邮电费、取暖费、公务用车运行维护费。</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1.34万元，比上年增加0.20万元，增长17.54%，主要原因是我单位今年门诊业务量较去年增加，为保障各项专项业务的正常开展，所需的“三公”经费较去年增加。其中，因公出国（境）费支出0万元，占0%，比上年增加0万元，增长0%，主要原因是与上年相比无变动，与上年一致；公务用车购置及运行维护费支出1.34万元，占100%，比上年增加0.20万元，增长17.54%，主要原因是我单位今年门诊业务量较去年增加，为保障各项专项业务的正常开展，所需的“三公”经费较去年增加；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公务用车购置及运行维护费1.34万元，其中，公务用车购置费0万元，公务用车运行维护费1.34万元。公务用车运行维护费开支内容包括燃油费、保险费，维修费。公务用车购置数0辆，公务用车保有量2辆。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3.12万元，决算数1.34万元，预决算差异率-57.05%，主要原因是：厉行节约，压缩“三公”经费开支，因此决算数小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3.12万元，决算数1.34万元，预决算差异率-57.05%，主要原因是：厉行节约，压缩“三公”经费开支，因此决算数小于年初预算数；公务接待费预算数0万元，决算数0万元，预决算差异率0%，主要原因是：预算未安排，也无相应支出，因此预决算无差异。</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新疆喀什地区喀什麦盖提县妇幼保健站日常公用经费14.56万元，比上年减少0.74万元，降低4.84%，主要原因是厉行节约，减少一切不必要开支。</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2019年度政府采购支出总额453.06万元，其中：政府采购货物支出327万元、政府采购工程支出0万元、政府采购服务支出126.06万元。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授予中小企业合同金额126.06万元，占政府采购支出总额的27.82%，其中：授予小微企业合同金额126.06万元，占政府采购支出总额的27.82%。</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5,970（平方米），价值1,751.51万元。车辆2辆，价值38.52万元，其中：副部（省）级及以上领导用车0辆、主要领导干部用车0辆、机要通信用车0辆、应急保障用车0辆、执法执勤用车0辆、特种专业技术用车0辆、离退休干部用车0辆、其他用车2辆，其他用车主要是：救护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lang w:val="en-US"/>
        </w:rPr>
      </w:pPr>
      <w:bookmarkStart w:id="34" w:name="_Toc24143"/>
      <w:bookmarkStart w:id="35" w:name="_Toc3250"/>
      <w:r>
        <w:rPr>
          <w:rFonts w:hint="eastAsia" w:ascii="仿宋_GB2312" w:hAnsi="仿宋_GB2312" w:eastAsia="仿宋_GB2312" w:cs="仿宋_GB2312"/>
          <w:sz w:val="32"/>
          <w:lang w:val="en-US" w:eastAsia="zh-CN"/>
        </w:rPr>
        <w:t>根据预算绩效管理要求，我单位2019年度开展预算绩效评价项目0个，共涉及资金0万元。预算绩效管理取得的成效：无。发现的问题及原因：无。下一步改进措施：无。本单位无有关预算绩效管理和绩效自评开展情况。</w:t>
      </w:r>
    </w:p>
    <w:p>
      <w:pPr>
        <w:ind w:firstLine="640" w:firstLineChars="200"/>
        <w:jc w:val="center"/>
        <w:outlineLvl w:val="0"/>
        <w:rPr>
          <w:rFonts w:ascii="黑体" w:hAnsi="黑体" w:eastAsia="黑体"/>
          <w:sz w:val="32"/>
          <w:szCs w:val="32"/>
        </w:rPr>
      </w:pPr>
      <w:bookmarkStart w:id="54" w:name="_GoBack"/>
      <w:bookmarkEnd w:id="54"/>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51119BB"/>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1031</Words>
  <Characters>5881</Characters>
  <Lines>49</Lines>
  <Paragraphs>13</Paragraphs>
  <TotalTime>0</TotalTime>
  <ScaleCrop>false</ScaleCrop>
  <LinksUpToDate>false</LinksUpToDate>
  <CharactersWithSpaces>6899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2020-10-04T05:42:08Z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