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新疆喀什地区麦盖提县疾病预防控制中心2019年度部门决算公开说明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对影响人群生存环境卫生质量及生命质量的危险因素进行食品、职业、环境、放射、学校卫生等卫生学监测检验：对传染病、地方病、寄生虫病、慢性非传染性疾病、职业病、公害病、学生常见病及意外伤害、中毒等的发生、分布和发展规律进行流行病学监测，拟订并实施疾病预防控制工作方案，对方案实施情况进行质量和效果评估。</w:t>
      </w:r>
    </w:p>
    <w:p>
      <w:pPr>
        <w:ind w:firstLine="480"/>
        <w:jc w:val="both"/>
      </w:pPr>
      <w:r>
        <w:rPr>
          <w:rFonts w:ascii="仿宋_GB2312" w:hAnsi="仿宋_GB2312" w:cs="仿宋_GB2312" w:eastAsia="仿宋_GB2312"/>
          <w:b w:val="false"/>
          <w:sz w:val="32"/>
        </w:rPr>
        <w:t>2、承担疾病预防控制及有关公共卫生信息的报告、管理和预测、预报，为拟订与疾病预防控制和公共卫生相关的法律、法规、规章、政策、标准、规划等提供科学依据，为政府及其卫生行政部门决策提供科学依据和技术咨询。</w:t>
      </w:r>
    </w:p>
    <w:p>
      <w:pPr>
        <w:ind w:firstLine="480"/>
        <w:jc w:val="both"/>
      </w:pPr>
      <w:r>
        <w:rPr>
          <w:rFonts w:ascii="仿宋_GB2312" w:hAnsi="仿宋_GB2312" w:cs="仿宋_GB2312" w:eastAsia="仿宋_GB2312"/>
          <w:b w:val="false"/>
          <w:sz w:val="32"/>
        </w:rPr>
        <w:t>3、对传染病的发生、流行和中毒、污染事件及时进行调查，采取预防控制措施控制事态发展，并将有关情况及时通报卫生监督机构。</w:t>
      </w:r>
    </w:p>
    <w:p>
      <w:pPr>
        <w:ind w:firstLine="480"/>
        <w:jc w:val="both"/>
      </w:pPr>
      <w:r>
        <w:rPr>
          <w:rFonts w:ascii="仿宋_GB2312" w:hAnsi="仿宋_GB2312" w:cs="仿宋_GB2312" w:eastAsia="仿宋_GB2312"/>
          <w:b w:val="false"/>
          <w:sz w:val="32"/>
        </w:rPr>
        <w:t>4、实施预防接种，负责预防用生物制品的使用与管理。</w:t>
      </w:r>
    </w:p>
    <w:p>
      <w:pPr>
        <w:ind w:firstLine="480"/>
        <w:jc w:val="both"/>
      </w:pPr>
      <w:r>
        <w:rPr>
          <w:rFonts w:ascii="仿宋_GB2312" w:hAnsi="仿宋_GB2312" w:cs="仿宋_GB2312" w:eastAsia="仿宋_GB2312"/>
          <w:b w:val="false"/>
          <w:sz w:val="32"/>
        </w:rPr>
        <w:t>5、负责疾病预防控制工作人员和有关行业从业人员培训，指导技术规范和技术措施的实施；承担爱国卫生运动中与疾病预防控制有关的技术指导。</w:t>
      </w:r>
    </w:p>
    <w:p>
      <w:pPr>
        <w:ind w:firstLine="480"/>
        <w:jc w:val="both"/>
      </w:pPr>
      <w:r>
        <w:rPr>
          <w:rFonts w:ascii="仿宋_GB2312" w:hAnsi="仿宋_GB2312" w:cs="仿宋_GB2312" w:eastAsia="仿宋_GB2312"/>
          <w:b w:val="false"/>
          <w:sz w:val="32"/>
        </w:rPr>
        <w:t>6、开展健康教育与健康监护，参与社区卫生服务工作，促进社会健康环境的建立和人群健康行为的形成。</w:t>
      </w:r>
    </w:p>
    <w:p>
      <w:pPr>
        <w:ind w:firstLine="480"/>
        <w:jc w:val="both"/>
      </w:pPr>
      <w:r>
        <w:rPr>
          <w:rFonts w:ascii="仿宋_GB2312" w:hAnsi="仿宋_GB2312" w:cs="仿宋_GB2312" w:eastAsia="仿宋_GB2312"/>
          <w:b w:val="false"/>
          <w:sz w:val="32"/>
        </w:rPr>
        <w:t>7、开展卫生防病检验和实施质量控制，受卫生行政部门认定，承担卫生监督检测检验任务。</w:t>
      </w:r>
    </w:p>
    <w:p>
      <w:pPr>
        <w:ind w:firstLine="480"/>
        <w:jc w:val="both"/>
      </w:pPr>
      <w:r>
        <w:rPr>
          <w:rFonts w:ascii="仿宋_GB2312" w:hAnsi="仿宋_GB2312" w:cs="仿宋_GB2312" w:eastAsia="仿宋_GB2312"/>
          <w:b w:val="false"/>
          <w:sz w:val="32"/>
        </w:rPr>
        <w:t>8、进行应用性科学研究和开发，开展新技术、新方法的引进和推广工作。</w:t>
      </w:r>
    </w:p>
    <w:p>
      <w:pPr>
        <w:ind w:firstLine="480"/>
        <w:jc w:val="both"/>
      </w:pPr>
      <w:r>
        <w:rPr>
          <w:rFonts w:ascii="仿宋_GB2312" w:hAnsi="仿宋_GB2312" w:cs="仿宋_GB2312" w:eastAsia="仿宋_GB2312"/>
          <w:b w:val="false"/>
          <w:sz w:val="32"/>
        </w:rPr>
        <w:t>9、向社会提供相关的预防保健信息、健康咨询和预防医学诊疗等专业技术服务。</w:t>
      </w:r>
    </w:p>
    <w:p>
      <w:pPr>
        <w:ind w:firstLine="480"/>
        <w:jc w:val="both"/>
      </w:pPr>
      <w:r>
        <w:rPr>
          <w:rFonts w:ascii="仿宋_GB2312" w:hAnsi="仿宋_GB2312" w:cs="仿宋_GB2312" w:eastAsia="仿宋_GB2312"/>
          <w:b w:val="false"/>
          <w:sz w:val="32"/>
        </w:rPr>
        <w:t>10、完成卫生行政部门交办的其它工作任务。</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新疆喀什地区麦盖提县疾病预防控制中心2019年度，实有人数53人，其中：在职人员37人，离休人员0人，退休人员16人。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从部门决算单位构成看，新疆喀什地区麦盖提县疾病预防控制中心部门决算包括：新疆喀什地区麦盖提县疾病预防控制中心决算。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2019年度本年收入812.81万元，与上年相比，增加93.91万元，增长13.06%，主要原因是：财政专项资金较去年增加。本年支出891.96万元，与上年相比，增加261.94万元，增长41.58%，主要原因是：财政专项资金较去年增加。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2019年度本年收入812.81万元，其中：财政拨款收入712.81万元，占87.7%；上级补助收入0万元，占0%；事业收入0万元，占0%；经营收入0万元，占0%；附属单位上缴收入0万元，占0%；其他收入100万元，占12.3%。</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2019年度本年支出891.96万元，其中：基本支出486.11万元，占54.5%；项目支出405.85万元，占45.5%；上缴上级支出0万元，占0%；经营支出0万元，占0%；对附属单位补助支出0万元，占0%。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712.81万元，与上年相比，增加125.42万元，增长21.35%，主要原因是：财政专项资金较去年增加。财政拨款支出791.96万元，与上年相比，增加293.46万元，增长58.87%，主要原因是：财政专项资金较去年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732.65万元，决算数712.81万元，预决算差异率-2.71%，主要原因是：人员变动，在职减少1人，因此决算数小于年初预算数。财政拨款支出年初预算数732.65万元，决算数791.96万元，预决算差异率8.1%，主要原因是：去年项目结转资金104.19万元在今年支付，因此支出决算大于年初预算。</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2019年度一般公共预算财政拨款支出791.96万元。按功能分类科目项级科目公开，其中：</w:t>
      </w:r>
    </w:p>
    <w:p>
      <w:pPr>
        <w:ind w:firstLine="480"/>
        <w:jc w:val="both"/>
      </w:pPr>
      <w:r>
        <w:rPr>
          <w:rFonts w:ascii="仿宋_GB2312" w:hAnsi="仿宋_GB2312" w:cs="仿宋_GB2312" w:eastAsia="仿宋_GB2312"/>
          <w:b w:val="false"/>
          <w:sz w:val="32"/>
        </w:rPr>
        <w:t xml:space="preserve">   2080505机关事业单位基本养老保险缴费支出49.65万元；</w:t>
      </w:r>
    </w:p>
    <w:p>
      <w:pPr>
        <w:ind w:firstLine="480"/>
        <w:jc w:val="both"/>
      </w:pPr>
      <w:r>
        <w:rPr>
          <w:rFonts w:ascii="仿宋_GB2312" w:hAnsi="仿宋_GB2312" w:cs="仿宋_GB2312" w:eastAsia="仿宋_GB2312"/>
          <w:b w:val="false"/>
          <w:sz w:val="32"/>
        </w:rPr>
        <w:t xml:space="preserve">   2080506机关事业单位职业年金缴费支出4.07万元；</w:t>
      </w:r>
    </w:p>
    <w:p>
      <w:pPr>
        <w:ind w:firstLine="480"/>
        <w:jc w:val="both"/>
      </w:pPr>
      <w:r>
        <w:rPr>
          <w:rFonts w:ascii="仿宋_GB2312" w:hAnsi="仿宋_GB2312" w:cs="仿宋_GB2312" w:eastAsia="仿宋_GB2312"/>
          <w:b w:val="false"/>
          <w:sz w:val="32"/>
        </w:rPr>
        <w:t xml:space="preserve">   2100401疾病预防控制机构支出490.19万元；</w:t>
      </w:r>
    </w:p>
    <w:p>
      <w:pPr>
        <w:ind w:firstLine="480"/>
        <w:jc w:val="both"/>
      </w:pPr>
      <w:r>
        <w:rPr>
          <w:rFonts w:ascii="仿宋_GB2312" w:hAnsi="仿宋_GB2312" w:cs="仿宋_GB2312" w:eastAsia="仿宋_GB2312"/>
          <w:b w:val="false"/>
          <w:sz w:val="32"/>
        </w:rPr>
        <w:t xml:space="preserve">   2100408基本公共卫生服务支出101.45万元；</w:t>
      </w:r>
    </w:p>
    <w:p>
      <w:pPr>
        <w:ind w:firstLine="480"/>
        <w:jc w:val="both"/>
      </w:pPr>
      <w:r>
        <w:rPr>
          <w:rFonts w:ascii="仿宋_GB2312" w:hAnsi="仿宋_GB2312" w:cs="仿宋_GB2312" w:eastAsia="仿宋_GB2312"/>
          <w:b w:val="false"/>
          <w:sz w:val="32"/>
        </w:rPr>
        <w:t xml:space="preserve">   2100409重大公共卫生专项支出146.59万元。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2019年度一般公共预算财政拨款基本支出486.11万元，其中：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人员经费475.85万元，包括：基本工资、津贴补贴、奖金、绩效工资、机关事业单位基本养老保险缴费、职业年金缴费、职工基本医疗保险缴费、其他社会保障缴费、住房公积金、退休费、生活补助。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公用经费10.26万元，包括：邮电费、取暖费、公务用车运行维护费。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2.27万元，比上年增加0.17万元，增长8.1%，主要原因是上级专项资金增加，下乡开展专项业务活动使用车辆频繁，燃油费等增加。其中，因公出国（境）费支出0万元，占0%，比上年增加0万元，增长0%，主要原因是与上年相比无变动，与上年一致；公务用车购置及运行维护费支出2.27万元，占100%，比上年增加0.17万元，增长8.1%，主要原因是上级专项资金增加，下乡开展专项业务活动使用车辆频繁，燃油费等增加；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2.27万元，其中，公务用车购置费0万元，公务用车运行维护费2.27万元。公务用车运行维护费开支内容包括燃油费、小车保险、维修费、过路费。公务用车购置数0辆，公务用车保有量3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4.68万元，决算数2.27万元，预决算差异率-51.5%，主要原因是：厉行节约，压缩“三公”经费，因此决算数小于年初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4.68万元，决算数2.27万元，预决算差异率-51.5%，主要原因是：厉行节约，压缩“三公”经费，因此决算数小于年初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新疆喀什地区麦盖提县疾病预防控制中心日常公用经费10.26万元，比上年减少3.14万元，降低23.43%，主要原因是厉行节约，压缩一切不必要的开支，因此日常办公经费较去年减少。</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2019年度政府采购支出总额148.75万元，其中：政府采购货物支出148.02万元、政府采购工程支出0万元、政府采购服务支出0.73万元。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授予中小企业合同金额0.73万元，占政府采购支出总额的0.49%，其中：授予小微企业合同金额0.73万元，占政府采购支出总额的0.49%。</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3辆，价值47.78万元，其中：副部（省）级及以上领导用车0辆、主要领导干部用车0辆、机要通信用车0辆、应急保障用车0辆、执法执勤用车0辆、特种专业技术用车0辆、离退休干部用车0辆、其他用车3辆，其他用车主要是：医疗服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2个，共涉及资金157.8万元。预算绩效管理取得的成效：1、2019年县级拨付资金项目：有效控制各种传染病发生，使各种传染疾病明显减少；2、援疆结核病等传染病防治项目：传染病知识的宣传使得人民自我保护意识增强，群众对艾滋病、结核病、地方病知晓率大大提高，这些措施的采取极大的降低了传染病的发病率。发现的问题及原因：一是需进一步提高预算的前瞻性，细化预算编制；二是需进一步加强预算绩效组织体系的建设。下一步改进措施：一是不断加强管理，细化预算，进一步从源头细化、编准、编实预算，努力做到预算制度与政策细化，预算项目和资金精细，预算编制和执行精细。二是不断加强预算绩效组织体系建设，成立预算绩效管理工作领导小组，安排专人负责绩效目标管理与绩效评价。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TvYiWIR2RTbG3oWL//aoCw==" w:hash="Y2sdzjQ6TgKSYuwAJoLrVezZmMc="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