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新疆喀什地区麦盖提县劳动就业保险管理局2019年度部门决算公开说明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贯彻执行党和国家有关社会保险的路线、方针、政策和法律、法规。负责本县参保单位和个人养老、医疗、工伤、生育、失业等各项保险基金的征收、管理、审核、拨付工作；承办本县参保单位社会保险登记、变更、注销。各项社会保险关系转移，灵活就业人员参保、续保工作。审核参保人员待遇享受条件、计算其待遇，按时足额发放各类社会保险金；负责参保单位和个人养老、工伤、生育等保险的日常工作；负责社会保险数据、信息的处理和管理，参保个人账户的建立和管理为参保单位和个人提供有关养老、工伤、生育等保险的政策宣传咨询服务，受理群众来信来访；负责完成县委、县政府和上级部门交办的其他工作事项；垂管单位退休人员均可享受机关事业养老待遇补助，保障服务能力提升，带动垂管单位退休人员经济收入。</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新疆喀什地区麦盖提县劳动就业保险管理局2019年度，实有人数36人，其中：在职人员24人，离休人员0人，退休人员12人。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从部门决算单位构成看，新疆喀什地区麦盖提县劳动就业保险管理局部门决算包括：新疆喀什地区麦盖提县劳动就业保险管理局决算。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904.44万元，与上年相比，减少12,589.63万元，下降93.3%，主要原因是：机构改革，医疗保险项目移交医保局，相应资金也一并由医保局拨付。本年支出902.44万元，与上年相比，减少12,595.96万元，下降93.31%，主要原因是：机构改革，医疗保险项目移交医保局，相应资金也一并由医保局拨付。</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2019年度本年收入904.44万元，其中：财政拨款收入902.44万元，占99.78%；上级补助收入0万元，占0%；事业收入0万元，占0%；经营收入0万元，占0%；附属单位上缴收入0万元，占0%；其他收入2万元，占0.22%。</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2019年度本年支出902.44万元，其中：基本支出835.43万元，占92.57%；项目支出67.02万元，占7.43%；上缴上级支出0万元，占0%；经营支出0万元，占0%；对附属单位补助支出0万元，占0%。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902.44万元，与上年相比，减少12,591.63万元，下降93.31%，主要原因是：机构改革，医疗保险项目移交医保局，相应资金也一并由医保局拨付。财政拨款支出902.44万元，与上年相比，减少12,595.96万元，下降93.31%，主要原因是：机构改革，医疗保险项目移交医保局，相应资金也一并由医保局拨付。</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685.04万元，决算数902.44万元，预决算差异率31.74%，主要原因是：年初预算无法预计年中到达的部分项目资金，待资金实际到达后，通过预算追加的方式下达单位，因此决算数大于预算数。财政拨款支出年初预算数685.04万元，决算数902.44万元，预决算差异率31.74%，主要原因是：年初预算无法预计年中到达的部分项目资金，待资金实际到达后，通过预算追加的方式下达单位，因此决算数大于预算数。</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2019年度一般公共预算财政拨款支出902.44万元。按功能分类科目项级科目公开，其中：</w:t>
      </w:r>
    </w:p>
    <w:p>
      <w:pPr>
        <w:ind w:firstLine="480"/>
        <w:jc w:val="both"/>
      </w:pPr>
      <w:r>
        <w:rPr>
          <w:rFonts w:ascii="仿宋_GB2312" w:hAnsi="仿宋_GB2312" w:cs="仿宋_GB2312" w:eastAsia="仿宋_GB2312"/>
          <w:b w:val="false"/>
          <w:sz w:val="32"/>
        </w:rPr>
        <w:t xml:space="preserve">   2080101行政运行支出352.81万元；</w:t>
      </w:r>
    </w:p>
    <w:p>
      <w:pPr>
        <w:ind w:firstLine="480"/>
        <w:jc w:val="both"/>
      </w:pPr>
      <w:r>
        <w:rPr>
          <w:rFonts w:ascii="仿宋_GB2312" w:hAnsi="仿宋_GB2312" w:cs="仿宋_GB2312" w:eastAsia="仿宋_GB2312"/>
          <w:b w:val="false"/>
          <w:sz w:val="32"/>
        </w:rPr>
        <w:t xml:space="preserve">   2080109社会保险经办机构支出5.35万元；</w:t>
      </w:r>
    </w:p>
    <w:p>
      <w:pPr>
        <w:ind w:firstLine="480"/>
        <w:jc w:val="both"/>
      </w:pPr>
      <w:r>
        <w:rPr>
          <w:rFonts w:ascii="仿宋_GB2312" w:hAnsi="仿宋_GB2312" w:cs="仿宋_GB2312" w:eastAsia="仿宋_GB2312"/>
          <w:b w:val="false"/>
          <w:sz w:val="32"/>
        </w:rPr>
        <w:t xml:space="preserve">   2080505机关事业单位基本养老保险缴费支出46.65万元；</w:t>
      </w:r>
    </w:p>
    <w:p>
      <w:pPr>
        <w:ind w:firstLine="480"/>
        <w:jc w:val="both"/>
      </w:pPr>
      <w:r>
        <w:rPr>
          <w:rFonts w:ascii="仿宋_GB2312" w:hAnsi="仿宋_GB2312" w:cs="仿宋_GB2312" w:eastAsia="仿宋_GB2312"/>
          <w:b w:val="false"/>
          <w:sz w:val="32"/>
        </w:rPr>
        <w:t xml:space="preserve">   2080506机关事业单位职业年金缴费支出402.96万元；</w:t>
      </w:r>
    </w:p>
    <w:p>
      <w:pPr>
        <w:ind w:firstLine="480"/>
        <w:jc w:val="both"/>
      </w:pPr>
      <w:r>
        <w:rPr>
          <w:rFonts w:ascii="仿宋_GB2312" w:hAnsi="仿宋_GB2312" w:cs="仿宋_GB2312" w:eastAsia="仿宋_GB2312"/>
          <w:b w:val="false"/>
          <w:sz w:val="32"/>
        </w:rPr>
        <w:t xml:space="preserve">   2080699其他企业改革发展补助支出16.81万元；</w:t>
      </w:r>
    </w:p>
    <w:p>
      <w:pPr>
        <w:ind w:firstLine="480"/>
        <w:jc w:val="both"/>
      </w:pPr>
      <w:r>
        <w:rPr>
          <w:rFonts w:ascii="仿宋_GB2312" w:hAnsi="仿宋_GB2312" w:cs="仿宋_GB2312" w:eastAsia="仿宋_GB2312"/>
          <w:b w:val="false"/>
          <w:sz w:val="32"/>
        </w:rPr>
        <w:t xml:space="preserve">   2089901其他社会保障和就业支出44.58万元；</w:t>
      </w:r>
    </w:p>
    <w:p>
      <w:pPr>
        <w:ind w:firstLine="480"/>
        <w:jc w:val="both"/>
      </w:pPr>
      <w:r>
        <w:rPr>
          <w:rFonts w:ascii="仿宋_GB2312" w:hAnsi="仿宋_GB2312" w:cs="仿宋_GB2312" w:eastAsia="仿宋_GB2312"/>
          <w:b w:val="false"/>
          <w:sz w:val="32"/>
        </w:rPr>
        <w:t xml:space="preserve">   2101101行政单位医疗支出0.27万元；</w:t>
      </w:r>
    </w:p>
    <w:p>
      <w:pPr>
        <w:ind w:firstLine="480"/>
        <w:jc w:val="both"/>
      </w:pPr>
      <w:r>
        <w:rPr>
          <w:rFonts w:ascii="仿宋_GB2312" w:hAnsi="仿宋_GB2312" w:cs="仿宋_GB2312" w:eastAsia="仿宋_GB2312"/>
          <w:b w:val="false"/>
          <w:sz w:val="32"/>
        </w:rPr>
        <w:t xml:space="preserve">   2210201住房公积金支出33万元。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2019年度一般公共预算财政拨款基本支出835.43万元，其中：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824.51万元，包括：基本工资、津贴补贴、奖金、机关事业单位基本养老保险缴费、职业年金缴费、职工基本医疗保险缴费、公务员医疗补助缴费、其他社会保障缴费、住房公积金、退休费、生活补助、医疗费补助。</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公用经费10.91万元，包括：办公费、印刷费、手续费、邮电费、差旅费、会议费、公务用车运行维护费。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5.18万元，比上年增加2万元，增长62.89%，主要原因是车辆老旧，经常维修，车辆维修维护费增加。其中，因公出国（境）费支出0万元，占0%，比上年增加0万元，增长0%，主要原因是与上年相比无变动，与上年一致；公务用车购置及运行维护费支出5.18万元，占100%，比上年增加2万元，增长62.89%，主要原因是车辆老旧，经常维修，车辆维修维护费增加；公务接待费支出0万元，占0%，比上年增加0万元，增长0%，主要原因是与上年相比无变动，与上年一致。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因公出国（境）费支出0万元，开支内容包括：预算未安排，无此项支出。单位全年安排的因公出国（境）团组0个，因公出国（境）0人次。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公务用车购置及运行维护费5.18万元，其中，公务用车购置费0万元，公务用车运行维护费5.18万元。公务用车运行维护费开支内容包括汽车油料费、维护费。公务用车购置数0辆，公务用车保有量2辆。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公务接待费0万元，开支内容包括预算未安排，无此项支出。单位全年安排的国内公务接待0批次，0人次。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4.68万元，决算数5.18万元，预决算差异率10.68%，主要原因是：年初“三公”经费预算在基本支出中，由于车辆老旧油耗高，实际产生的车辆运行维护费由项目中支出0.5万元，因此决算数大于年初预算数。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4.68万元，决算数5.18万元，预决算差异率10.68%，主要原因是：年初“三公”经费预算在基本支出中，由于车辆老旧油耗高，实际产生的车辆运行维护费由项目中支出0.5万元，因此决算数大于年初预算数；公务接待费预算数0万元，决算数0万元，预决算差异率0%，主要原因是：预算未安排，也无相应支出，因此预决算无差异。</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麦盖提县劳动就业保险管理局机关运行经费支出10.91万元，比上年增加8.66万元，增长384.89%，主要原因是今年脱贫攻坚时间紧，任务重，开展各类社保扶贫工作所需的日常公用开支较去年增加。</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2019年度政府采购支出总额0万元，其中：政府采购货物支出0万元、政府采购工程支出0万元、政府采购服务支出0万元。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授予中小企业合同金额0万元，占政府采购支出总额的0%，其中：授予小微企业合同金额0万元，占政府采购支出总额的0%。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481（平方米），价值46.74万元。车辆2辆，价值35.91万元，其中：副部（省）级及以上领导用车0辆、主要领导干部用车0辆、机要通信用车0辆、应急保障用车0辆、执法执勤用车0辆、特种专业技术用车0辆、离退休干部用车0辆、其他用车2辆，其他用车主要是：一般公务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6个，共涉及资金249.62万元。预算绩效管理取得的成效：1、县级财政对城乡居民基本养老保险的补助项目：城乡居民参加居民基本养老保险缴费档次补助已完成95161人，城乡居民领取养老金待遇补助已完成16817人，城乡参保居民丧葬费补助已完成873人。2、代办员补助项目：全面完成地区下达的社会保险工作，加强社会保险经办队伍力量，保障正常业务工作开展，聘用的2个代办员的补助均按时足额发放到位，提高经办服务效率。3、县级财政对离休人员药费周转金的补助项目：已完成保障离休人员药费全额报销，已完成减轻离休人员家庭医疗负担正常工作日常开展。4、全民参保登记计划实施补助经费：已全面完成地区下达的社会保险扩面及基金增收计划，加强社会保险经办队伍力量，保障正常业务工作开展，提高经办服务效率。5、养老保险征缴经费：、已完成购买办公耗材，政策宣传材料印刷费，宣传费等。6、医疗保障管理事务：已完成单位正常运转产生的办公设备购置费。发现的问题及原因：一是需进一步提高预算的前瞻性，细化预算编制；二是需进一步加强预算绩效组织体系的建设。下一步改进措施：一是不断加强管理，细化预算，进一步从源头细化、编准、编实预算，努力做到预算制度与政策细化，预算项目和资金精细，预算编制和执行精细。二是不断加强预算绩效组织体系建设，成立预算绩效管理工作领导小组，安排专人负责绩效目标管理与绩效评价。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7c61wat2k1ots+S+hTV5sQ==" w:hash="/EJGvaL0yAwoOYt0qhItFw9zX78="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