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新疆喀什地区麦盖提县民政局2019年度部门决算公开说明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一是贯彻执行国家、自治区有关民政工作的方针政策、法律法规；拟订麦盖提县民政事业发展规划并组织实施；</w:t>
      </w:r>
    </w:p>
    <w:p>
      <w:pPr>
        <w:ind w:firstLine="480"/>
        <w:jc w:val="both"/>
      </w:pPr>
      <w:r>
        <w:rPr>
          <w:rFonts w:ascii="仿宋_GB2312" w:hAnsi="仿宋_GB2312" w:cs="仿宋_GB2312" w:eastAsia="仿宋_GB2312"/>
          <w:b w:val="false"/>
          <w:sz w:val="32"/>
        </w:rPr>
        <w:t>二是拟订全县社会救助规划、政策和标准，健全城乡社会救助体系；负责城乡居民最低生活保障、临时救助、生活无着人员救助和城市低收入家庭收入认定工作；指导农村五保供养和农村敬老院建设管理工作；按照管辖权限依法管理全县社会团体、民办非企业、拟订全县城乡基层群众自治建设和社区建设的政策；贯彻执行行政区划管理政策和行政区域界线、地名管理办法；拟订全县社会福利事业发展规划并组织实施。负责老年人、孤儿和残疾人等特殊群体权益保障工作；贯彻落实国家婚姻管理、殡葬管理和儿童收养政策，负责推进婚俗和殡葬改革，指导婚姻、殡葬、收养、救助服务机构管理工作；推进社会工作人才队伍建设；承办县委、县人民政府交办的其他事项。</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新疆喀什地区麦盖提县民政局2019年度，实有人数40人，其中：在职人员28人，离休人员0人，退休人员12人。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从部门决算单位构成看，新疆喀什地区麦盖提县民政局部门决算包括：新疆喀什地区麦盖提县民政局决算。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12,915.38万元，与上年相比，减少1,646.08万元，下降11.3%，主要原因是：机构改革，医疗扶助、优抚安置、救灾救济业务划转至其他单位，相应资金量较去年减少。本年支出14,031.78万元，与上年相比，增加718.34万元，增长5.4%，主要原因是：一是特困供养对象、城乡低保对象救助标准提高；二是2019年开始聘用村级民政协理员人数增加；三是上年结转的建设项目资金今年支出。</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2019年度本年收入12,915.38万元，其中：财政拨款收入12,915.38万元，占100%；上级补助收入0万元，占0%；事业收入0万元，占0%；经营收入0万元，占0%；附属单位上缴收入0万元，占0%；其他收入0万元，占0%。</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2019年度本年支出14,031.78万元，其中：基本支出465.26万元，占3.32%；项目支出13,566.52万元，占96.68%；上缴上级支出0万元，占0%；经营支出0万元，占0%；对附属单位补助支出0万元，占0%。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12,915.38万元，与上年相比，减少1,310.48万元，下降9.21%，主要原因是：机构改革，医疗扶助、优抚安置、救灾救济业务划转至其他单位，相应资金量较去年减少。财政拨款支出14,031.78万元，与上年相比，增加1,108.63万元，增长8.58%，主要原因是：一是特困供养对象、城乡低保对象救助标准提高；二是2019年开始聘用村级民政协理员人数增加；三是上年结转的建设项目资金今年支出。</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870.76万元，决算数12,915.38万元，预决算差异率1383.23%，主要原因是：年初预算无法预计年中到达的部分项目资金，待资金实际到达后，通过预算追加的方式下达单位，因此决算数大于预算数。财政拨款支出年初预算数870.76万元，决算数14,031.78万元，预决算差异率1511.44%，主要原因是：年初预算无法预计年中到达的部分项目资金，待资金实际到达后，通过预算追加的方式下达单位，因此决算数大于预算数。</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2019年度一般公共预算财政拨款支出12,183.51万元。按功能分类科目项级科目公开，其中：</w:t>
      </w:r>
    </w:p>
    <w:p>
      <w:pPr>
        <w:ind w:firstLine="480"/>
        <w:jc w:val="both"/>
      </w:pPr>
      <w:r>
        <w:rPr>
          <w:rFonts w:ascii="仿宋_GB2312" w:hAnsi="仿宋_GB2312" w:cs="仿宋_GB2312" w:eastAsia="仿宋_GB2312"/>
          <w:b w:val="false"/>
          <w:sz w:val="32"/>
        </w:rPr>
        <w:t xml:space="preserve">   2080201行政运行支出400.54万元；</w:t>
      </w:r>
    </w:p>
    <w:p>
      <w:pPr>
        <w:ind w:firstLine="480"/>
        <w:jc w:val="both"/>
      </w:pPr>
      <w:r>
        <w:rPr>
          <w:rFonts w:ascii="仿宋_GB2312" w:hAnsi="仿宋_GB2312" w:cs="仿宋_GB2312" w:eastAsia="仿宋_GB2312"/>
          <w:b w:val="false"/>
          <w:sz w:val="32"/>
        </w:rPr>
        <w:t xml:space="preserve">   2080207行政区划和地名管理支出5.21万元；</w:t>
      </w:r>
    </w:p>
    <w:p>
      <w:pPr>
        <w:ind w:firstLine="480"/>
        <w:jc w:val="both"/>
      </w:pPr>
      <w:r>
        <w:rPr>
          <w:rFonts w:ascii="仿宋_GB2312" w:hAnsi="仿宋_GB2312" w:cs="仿宋_GB2312" w:eastAsia="仿宋_GB2312"/>
          <w:b w:val="false"/>
          <w:sz w:val="32"/>
        </w:rPr>
        <w:t xml:space="preserve">   2080505机关事业单位基本养老保险缴费支出36.97万元；</w:t>
      </w:r>
    </w:p>
    <w:p>
      <w:pPr>
        <w:ind w:firstLine="480"/>
        <w:jc w:val="both"/>
      </w:pPr>
      <w:r>
        <w:rPr>
          <w:rFonts w:ascii="仿宋_GB2312" w:hAnsi="仿宋_GB2312" w:cs="仿宋_GB2312" w:eastAsia="仿宋_GB2312"/>
          <w:b w:val="false"/>
          <w:sz w:val="32"/>
        </w:rPr>
        <w:t xml:space="preserve">   2080802伤残抚恤支出47.50万元；</w:t>
      </w:r>
    </w:p>
    <w:p>
      <w:pPr>
        <w:ind w:firstLine="480"/>
        <w:jc w:val="both"/>
      </w:pPr>
      <w:r>
        <w:rPr>
          <w:rFonts w:ascii="仿宋_GB2312" w:hAnsi="仿宋_GB2312" w:cs="仿宋_GB2312" w:eastAsia="仿宋_GB2312"/>
          <w:b w:val="false"/>
          <w:sz w:val="32"/>
        </w:rPr>
        <w:t xml:space="preserve">   2080899其他优抚支出0.44万元；</w:t>
      </w:r>
    </w:p>
    <w:p>
      <w:pPr>
        <w:ind w:firstLine="480"/>
        <w:jc w:val="both"/>
      </w:pPr>
      <w:r>
        <w:rPr>
          <w:rFonts w:ascii="仿宋_GB2312" w:hAnsi="仿宋_GB2312" w:cs="仿宋_GB2312" w:eastAsia="仿宋_GB2312"/>
          <w:b w:val="false"/>
          <w:sz w:val="32"/>
        </w:rPr>
        <w:t xml:space="preserve">   2080902军队移交政府的离退休人员安置支出7.14万元；</w:t>
      </w:r>
    </w:p>
    <w:p>
      <w:pPr>
        <w:ind w:firstLine="480"/>
        <w:jc w:val="both"/>
      </w:pPr>
      <w:r>
        <w:rPr>
          <w:rFonts w:ascii="仿宋_GB2312" w:hAnsi="仿宋_GB2312" w:cs="仿宋_GB2312" w:eastAsia="仿宋_GB2312"/>
          <w:b w:val="false"/>
          <w:sz w:val="32"/>
        </w:rPr>
        <w:t xml:space="preserve">   2080904退役士兵管理教育支出0万元；</w:t>
      </w:r>
    </w:p>
    <w:p>
      <w:pPr>
        <w:ind w:firstLine="480"/>
        <w:jc w:val="both"/>
      </w:pPr>
      <w:r>
        <w:rPr>
          <w:rFonts w:ascii="仿宋_GB2312" w:hAnsi="仿宋_GB2312" w:cs="仿宋_GB2312" w:eastAsia="仿宋_GB2312"/>
          <w:b w:val="false"/>
          <w:sz w:val="32"/>
        </w:rPr>
        <w:t xml:space="preserve">   2080999其他退役安置支出23.02万元；</w:t>
      </w:r>
    </w:p>
    <w:p>
      <w:pPr>
        <w:ind w:firstLine="480"/>
        <w:jc w:val="both"/>
      </w:pPr>
      <w:r>
        <w:rPr>
          <w:rFonts w:ascii="仿宋_GB2312" w:hAnsi="仿宋_GB2312" w:cs="仿宋_GB2312" w:eastAsia="仿宋_GB2312"/>
          <w:b w:val="false"/>
          <w:sz w:val="32"/>
        </w:rPr>
        <w:t xml:space="preserve">   2081001儿童福利支出391.30万元；</w:t>
      </w:r>
    </w:p>
    <w:p>
      <w:pPr>
        <w:ind w:firstLine="480"/>
        <w:jc w:val="both"/>
      </w:pPr>
      <w:r>
        <w:rPr>
          <w:rFonts w:ascii="仿宋_GB2312" w:hAnsi="仿宋_GB2312" w:cs="仿宋_GB2312" w:eastAsia="仿宋_GB2312"/>
          <w:b w:val="false"/>
          <w:sz w:val="32"/>
        </w:rPr>
        <w:t xml:space="preserve">   2081002老年福利支出18.80万元；</w:t>
      </w:r>
    </w:p>
    <w:p>
      <w:pPr>
        <w:ind w:firstLine="480"/>
        <w:jc w:val="both"/>
      </w:pPr>
      <w:r>
        <w:rPr>
          <w:rFonts w:ascii="仿宋_GB2312" w:hAnsi="仿宋_GB2312" w:cs="仿宋_GB2312" w:eastAsia="仿宋_GB2312"/>
          <w:b w:val="false"/>
          <w:sz w:val="32"/>
        </w:rPr>
        <w:t xml:space="preserve">   2081005社会福利事业单位支出14.89万元；</w:t>
      </w:r>
    </w:p>
    <w:p>
      <w:pPr>
        <w:ind w:firstLine="480"/>
        <w:jc w:val="both"/>
      </w:pPr>
      <w:r>
        <w:rPr>
          <w:rFonts w:ascii="仿宋_GB2312" w:hAnsi="仿宋_GB2312" w:cs="仿宋_GB2312" w:eastAsia="仿宋_GB2312"/>
          <w:b w:val="false"/>
          <w:sz w:val="32"/>
        </w:rPr>
        <w:t xml:space="preserve">   2081099其他社会福利支出90.80万元；</w:t>
      </w:r>
    </w:p>
    <w:p>
      <w:pPr>
        <w:ind w:firstLine="480"/>
        <w:jc w:val="both"/>
      </w:pPr>
      <w:r>
        <w:rPr>
          <w:rFonts w:ascii="仿宋_GB2312" w:hAnsi="仿宋_GB2312" w:cs="仿宋_GB2312" w:eastAsia="仿宋_GB2312"/>
          <w:b w:val="false"/>
          <w:sz w:val="32"/>
        </w:rPr>
        <w:t xml:space="preserve">   2081107残疾人生活和护理补贴支出9.69万元；</w:t>
      </w:r>
    </w:p>
    <w:p>
      <w:pPr>
        <w:ind w:firstLine="480"/>
        <w:jc w:val="both"/>
      </w:pPr>
      <w:r>
        <w:rPr>
          <w:rFonts w:ascii="仿宋_GB2312" w:hAnsi="仿宋_GB2312" w:cs="仿宋_GB2312" w:eastAsia="仿宋_GB2312"/>
          <w:b w:val="false"/>
          <w:sz w:val="32"/>
        </w:rPr>
        <w:t xml:space="preserve">   2082102农村特困人员救助供养支出20.32万元；</w:t>
      </w:r>
    </w:p>
    <w:p>
      <w:pPr>
        <w:ind w:firstLine="480"/>
        <w:jc w:val="both"/>
      </w:pPr>
      <w:r>
        <w:rPr>
          <w:rFonts w:ascii="仿宋_GB2312" w:hAnsi="仿宋_GB2312" w:cs="仿宋_GB2312" w:eastAsia="仿宋_GB2312"/>
          <w:b w:val="false"/>
          <w:sz w:val="32"/>
        </w:rPr>
        <w:t xml:space="preserve">   2089901其他社会保障和就业支出10,420.85万元；</w:t>
      </w:r>
    </w:p>
    <w:p>
      <w:pPr>
        <w:ind w:firstLine="480"/>
        <w:jc w:val="both"/>
      </w:pPr>
      <w:r>
        <w:rPr>
          <w:rFonts w:ascii="仿宋_GB2312" w:hAnsi="仿宋_GB2312" w:cs="仿宋_GB2312" w:eastAsia="仿宋_GB2312"/>
          <w:b w:val="false"/>
          <w:sz w:val="32"/>
        </w:rPr>
        <w:t xml:space="preserve">   2101301城乡医疗救济帮助支出277.35万元；</w:t>
      </w:r>
    </w:p>
    <w:p>
      <w:pPr>
        <w:ind w:firstLine="480"/>
        <w:jc w:val="both"/>
      </w:pPr>
      <w:r>
        <w:rPr>
          <w:rFonts w:ascii="仿宋_GB2312" w:hAnsi="仿宋_GB2312" w:cs="仿宋_GB2312" w:eastAsia="仿宋_GB2312"/>
          <w:b w:val="false"/>
          <w:sz w:val="32"/>
        </w:rPr>
        <w:t xml:space="preserve">   2101401优抚对象医疗补助支出2.03万元；</w:t>
      </w:r>
    </w:p>
    <w:p>
      <w:pPr>
        <w:ind w:firstLine="480"/>
        <w:jc w:val="both"/>
      </w:pPr>
      <w:r>
        <w:rPr>
          <w:rFonts w:ascii="仿宋_GB2312" w:hAnsi="仿宋_GB2312" w:cs="仿宋_GB2312" w:eastAsia="仿宋_GB2312"/>
          <w:b w:val="false"/>
          <w:sz w:val="32"/>
        </w:rPr>
        <w:t xml:space="preserve">   2210201住房公积金支出27.75万元；</w:t>
      </w:r>
    </w:p>
    <w:p>
      <w:pPr>
        <w:ind w:firstLine="480"/>
        <w:jc w:val="both"/>
      </w:pPr>
      <w:r>
        <w:rPr>
          <w:rFonts w:ascii="仿宋_GB2312" w:hAnsi="仿宋_GB2312" w:cs="仿宋_GB2312" w:eastAsia="仿宋_GB2312"/>
          <w:b w:val="false"/>
          <w:sz w:val="32"/>
        </w:rPr>
        <w:t xml:space="preserve">   2240701中央自然灾害生活补助支出388.91万元。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2019年度一般公共预算财政拨款基本支出465.26万元，其中：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人员经费361.57万元，包括：基本工资、津贴补贴、奖金、机关事业单位基本养老保险缴费、职工基本医疗保险缴费、公务员医疗补助缴费、其他社会保障缴费、住房公积金、退休费、生活补助。</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公用经费103.69万元，包括：办公费、取暖费、差旅费、维修（护）费、公务用车运行维护费。</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6.47万元，比上年增加4.54万元，增长235.23%，主要原因是下乡开展工作较多，车辆使用频繁，燃油费及小车维修费较去年增加。其中，因公出国（境）费支出0万元，占0%，比上年增加0万元，增长0%，主要原因是与上年相比无变动，与上年一致；公务用车购置及运行维护费支出6.47万元，占100%，比上年增加4.54万元，增长235.23%，主要原因是下乡开展工作较多，车辆使用频繁，燃油费及小车维修费较去年增加；公务接待费支出0万元，占0%，比上年增加0万元，增长0%，主要原因是与上年相比无变动，与上年一致。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因公出国（境）费支出0万元，开支内容包括：预算未安排，无此项开支。单位全年安排的因公出国（境）团组0个，因公出国（境）0人次。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公务用车购置及运行维护费6.47万元，其中，公务用车购置费0万元，公务用车运行维护费6.47万元。公务用车运行维护费开支内容包括汽车油料费、维护维修费、过路费。公务用车购置数0辆，公务用车保有量5辆。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公务接待费0万元，开支内容包括预算未安排，无此项支出。单位全年安排的国内公务接待0批次，0人次。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6.24万元，决算数6.47万元，预决算差异率3.69%，主要原因是：年初“三公”经费预算在基本支出中，年末由于车辆运行维护费增加，从项目中支出0.23万元，因此决算数大于年初预算数。其中：因公出国（境）费预算数0万元，决算数0万元，预决算差异率0%，主要原因是：预算未安排，也无相应支出，因此预决算无差异；公务用车购置费预算数0万元，决算数0万元，预决算差异率0%，主要原因是：预算未安排，也无相应支出，因此预决算无差异；公务用车运行费预算数6.24万元，决算数6.47万元，预决算差异率3.69%，主要原因是：年初“三公”经费预算在基本支出中，年末由于车辆运行维护费增加，从项目中支出0.23万元，因此决算数大于年初预算数；公务接待费预算数0万元，决算数0万元，预决算差异率0%，主要原因是：预算未安排，也无相应支出，因此预决算无差异。</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2019年度政府性基金预算财政拨款收入1,425.38万元，与上年相比，增加879.27万元，增长161.01%，主要原因是：上级项目资金较去年增加。政府性基金预算支出1,848.27万元，与上年相比，增加1,748.73万元，增长1756.81%，主要原因是：上级项目资金较去年增加。</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2019年度新疆喀什地区麦盖提县民政局机关运行经费支出103.69万元，比上年增加74.43万元，增长254.37%，主要原因是维修费和取暖费较去年增加。</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2019年度政府采购支出总额789.59万元，其中：政府采购货物支出653.57万元、政府采购工程支出0万元、政府采购服务支出136.01万元。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授予中小企业合同金额136.01万元，占政府采购支出总额的17.23%，其中：授予小微企业合同金额136.01万元，占政府采购支出总额的17.23%。</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0（平方米），价值0万元。车辆5辆，价值98.49万元，其中：副部（省）级及以上领导用车0辆、主要领导干部用车0辆、机要通信用车0辆、应急保障用车0辆、执法执勤用车0辆、特种专业技术用车0辆、离退休干部用车0辆、其他用车5辆，其他用车主要是：一般公务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2个，共涉及资金178.36万元。预算绩效管理取得的成效：1、地名区划补助经费项目：规范命名道路名称13个，地名地址库建设录入居民门牌号10500条，完成录入国家地名数据库地名700条，完善地名普查档案资料，优化数据库建设，促进社会经济文化发展同时形成规范的地名信息共享平台，方便民众生产和生活。2、社会福利项目：改善了供养环境，提高了殡葬服务功能，社会福利机构运转效率不断提高。发现的问题及原因：1、缺乏绩效管理专业人员，规范管理有盲点；2、工作人员绩效管理经验欠缺，缺乏专业性，只能是边工作、边学习、边积累，难以做到程序规范、管理科学和绩效显著。下一步改进措施：一是不断加强管理，细化预算，进一步从源头细化、编准、编实预算，努力做到预算制度与政策细化，预算项目和资金精细，预算编制和执行精细。二是不断加强预算绩效组织体系建设，成立预算绩效管理工作领导小组，安排专人负责绩效目标管理与绩效评价。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VQhIgM3htAzEUOE7KXP16Q==" w:hash="CwK6YjOrI8Ui3etrgf3e74Qrnw0="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