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3A8" w:rsidRDefault="008853A8">
      <w:pPr>
        <w:rPr>
          <w:rFonts w:ascii="黑体" w:eastAsia="黑体" w:hAnsi="黑体"/>
          <w:sz w:val="32"/>
          <w:szCs w:val="32"/>
        </w:rPr>
      </w:pPr>
      <w:r>
        <w:rPr>
          <w:rFonts w:ascii="黑体" w:eastAsia="黑体" w:hAnsi="黑体" w:hint="eastAsia"/>
          <w:sz w:val="32"/>
          <w:szCs w:val="32"/>
        </w:rPr>
        <w:t>附件：</w:t>
      </w:r>
    </w:p>
    <w:p w:rsidR="008853A8" w:rsidRDefault="008853A8">
      <w:pPr>
        <w:jc w:val="center"/>
        <w:rPr>
          <w:rFonts w:ascii="方正小标宋_GBK" w:eastAsia="方正小标宋_GBK" w:hAnsi="宋体"/>
          <w:sz w:val="44"/>
          <w:szCs w:val="44"/>
        </w:rPr>
      </w:pPr>
    </w:p>
    <w:p w:rsidR="008853A8" w:rsidRDefault="008853A8">
      <w:pPr>
        <w:jc w:val="center"/>
        <w:rPr>
          <w:rFonts w:ascii="方正小标宋_GBK" w:eastAsia="方正小标宋_GBK" w:hAnsi="宋体"/>
          <w:sz w:val="44"/>
          <w:szCs w:val="44"/>
        </w:rPr>
      </w:pPr>
    </w:p>
    <w:p w:rsidR="008853A8" w:rsidRDefault="008853A8">
      <w:pPr>
        <w:jc w:val="center"/>
        <w:rPr>
          <w:rFonts w:ascii="方正小标宋_GBK" w:eastAsia="方正小标宋_GBK" w:hAnsi="宋体"/>
          <w:sz w:val="44"/>
          <w:szCs w:val="44"/>
        </w:rPr>
      </w:pPr>
    </w:p>
    <w:p w:rsidR="008853A8" w:rsidRDefault="008853A8">
      <w:pPr>
        <w:jc w:val="center"/>
        <w:rPr>
          <w:rFonts w:ascii="方正小标宋_GBK" w:eastAsia="方正小标宋_GBK" w:hAnsi="宋体"/>
          <w:sz w:val="44"/>
          <w:szCs w:val="44"/>
        </w:rPr>
      </w:pPr>
    </w:p>
    <w:p w:rsidR="008853A8" w:rsidRDefault="00377EC6">
      <w:pPr>
        <w:jc w:val="center"/>
        <w:rPr>
          <w:rFonts w:ascii="方正小标宋_GBK" w:eastAsia="方正小标宋_GBK" w:hAnsi="宋体"/>
          <w:sz w:val="44"/>
          <w:szCs w:val="44"/>
        </w:rPr>
      </w:pPr>
      <w:r>
        <w:rPr>
          <w:rFonts w:ascii="方正小标宋_GBK" w:eastAsia="方正小标宋_GBK" w:hAnsi="方正小标宋_GBK" w:cs="方正小标宋_GBK"/>
          <w:sz w:val="44"/>
        </w:rPr>
        <w:t>新疆喀什地区麦盖提县人民医院2019年度部门决算公开说明</w:t>
      </w:r>
    </w:p>
    <w:p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t>目 录</w:t>
      </w:r>
    </w:p>
    <w:p w:rsidR="008853A8" w:rsidRDefault="0012043C">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8853A8">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8853A8">
          <w:rPr>
            <w:rFonts w:ascii="仿宋_GB2312" w:eastAsia="仿宋_GB2312" w:hAnsi="仿宋_GB2312" w:cs="仿宋_GB2312" w:hint="eastAsia"/>
            <w:b/>
            <w:bCs/>
            <w:sz w:val="32"/>
            <w:szCs w:val="32"/>
          </w:rPr>
          <w:t>第一部分 部门单位概况</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rsidR="008853A8" w:rsidRDefault="0012043C">
      <w:pPr>
        <w:pStyle w:val="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rsidR="008853A8" w:rsidRDefault="0012043C">
      <w:pPr>
        <w:pStyle w:val="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rsidR="008853A8" w:rsidRDefault="0012043C">
      <w:pPr>
        <w:pStyle w:val="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rsidR="008853A8" w:rsidRDefault="0012043C">
      <w:pPr>
        <w:pStyle w:val="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rsidR="008853A8" w:rsidRDefault="0012043C">
      <w:pPr>
        <w:pStyle w:val="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rsidR="008853A8" w:rsidRDefault="0012043C">
      <w:pPr>
        <w:pStyle w:val="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rsidR="008853A8" w:rsidRDefault="0012043C">
      <w:pPr>
        <w:pStyle w:val="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rsidR="008853A8" w:rsidRDefault="0012043C">
      <w:r>
        <w:rPr>
          <w:rFonts w:ascii="仿宋_GB2312" w:eastAsia="仿宋_GB2312" w:hAnsi="仿宋_GB2312" w:cs="仿宋_GB2312" w:hint="eastAsia"/>
          <w:sz w:val="32"/>
          <w:szCs w:val="32"/>
        </w:rPr>
        <w:fldChar w:fldCharType="end"/>
      </w:r>
    </w:p>
    <w:p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t>第一部分 部门单位概况</w:t>
      </w:r>
      <w:bookmarkEnd w:id="0"/>
      <w:bookmarkEnd w:id="1"/>
    </w:p>
    <w:p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12043C" w:rsidRDefault="00825132">
      <w:pPr>
        <w:ind w:firstLine="480"/>
      </w:pPr>
      <w:r>
        <w:rPr>
          <w:rFonts w:ascii="仿宋_GB2312" w:eastAsia="仿宋_GB2312" w:hAnsi="仿宋_GB2312" w:cs="仿宋_GB2312"/>
          <w:sz w:val="32"/>
        </w:rPr>
        <w:t>麦盖提县人民医院是一所综合性国家二级甲等医院，主要职责：担负着全县各族人民群众的医疗、预防、保健、急救、康复、医学科研和全县医疗卫生人员的专业技术培训工作。</w:t>
      </w:r>
    </w:p>
    <w:p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1F777A" w:rsidRPr="001F777A" w:rsidRDefault="001F777A" w:rsidP="001F777A">
      <w:pPr>
        <w:ind w:firstLineChars="200" w:firstLine="640"/>
      </w:pPr>
      <w:r>
        <w:rPr>
          <w:rFonts w:ascii="仿宋_GB2312" w:eastAsia="仿宋_GB2312" w:hAnsi="仿宋_GB2312" w:cs="仿宋_GB2312"/>
          <w:sz w:val="32"/>
        </w:rPr>
        <w:t>新疆喀什地区麦盖提县人民医院2019年度，实有人数343人，其中：在职人员236人，离休人员0人，退休人员107人。</w:t>
      </w:r>
    </w:p>
    <w:p w:rsidR="00862395" w:rsidRDefault="00862395" w:rsidP="00862395">
      <w:pPr>
        <w:ind w:firstLineChars="200" w:firstLine="640"/>
        <w:rPr>
          <w:rFonts w:ascii="仿宋_GB2312" w:eastAsia="仿宋_GB2312"/>
          <w:sz w:val="32"/>
          <w:szCs w:val="32"/>
        </w:rPr>
      </w:pPr>
      <w:r>
        <w:rPr>
          <w:rFonts w:ascii="仿宋_GB2312" w:eastAsia="仿宋_GB2312" w:hAnsi="仿宋_GB2312" w:cs="仿宋_GB2312"/>
          <w:sz w:val="32"/>
        </w:rPr>
        <w:t>从部门决算单位构成看，新疆喀什地区麦盖提县人民医院部门决算包括：新疆喀什地区麦盖提县人民医院决算。</w:t>
      </w:r>
    </w:p>
    <w:p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8853A8" w:rsidRDefault="007E3BFD">
      <w:pPr>
        <w:ind w:firstLineChars="200" w:firstLine="640"/>
        <w:rPr>
          <w:rFonts w:ascii="仿宋_GB2312" w:eastAsia="仿宋_GB2312"/>
          <w:sz w:val="32"/>
          <w:szCs w:val="32"/>
        </w:rPr>
      </w:pPr>
      <w:r>
        <w:rPr>
          <w:rFonts w:ascii="仿宋_GB2312" w:eastAsia="仿宋_GB2312" w:hAnsi="仿宋_GB2312" w:cs="仿宋_GB2312"/>
          <w:sz w:val="32"/>
        </w:rPr>
        <w:t>2019年度本年收入17,460.50万元，与上年相比，增加3,305.21万元，增长23.35%，主要原因是：事业收入、其他收入以及上级专项资金较去年增加。本年支出16,213.52万元，与上年相比，增加2,916.85万元，增长21.94%，主要原因是：为提升医疗服务能力，提升医务人员的积极性，新增聘用人员以及为聘用人员进行了工资普调，同时购买了医疗设备。</w:t>
      </w:r>
    </w:p>
    <w:p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8853A8" w:rsidRDefault="00125A6F">
      <w:pPr>
        <w:ind w:firstLineChars="200" w:firstLine="640"/>
        <w:rPr>
          <w:rFonts w:ascii="仿宋_GB2312" w:eastAsia="仿宋_GB2312"/>
          <w:sz w:val="32"/>
          <w:szCs w:val="32"/>
        </w:rPr>
      </w:pPr>
      <w:r>
        <w:rPr>
          <w:rFonts w:ascii="仿宋_GB2312" w:eastAsia="仿宋_GB2312" w:hAnsi="仿宋_GB2312" w:cs="仿宋_GB2312"/>
          <w:sz w:val="32"/>
        </w:rPr>
        <w:t>2019年度本年收入17,460.50万元，其中：财政拨款收入2,957.93万元，占16.94%；上级补助收入0万元，占0%；事业收入13,934.09万元，占79.8%；经营收入0万元，占0%；附属单位上缴收入0万元，占0%；其他收入568.48万元，占3.26%。</w:t>
      </w:r>
    </w:p>
    <w:p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8853A8" w:rsidRDefault="00233021">
      <w:pPr>
        <w:ind w:firstLineChars="200" w:firstLine="640"/>
        <w:rPr>
          <w:rFonts w:ascii="仿宋_GB2312" w:eastAsia="仿宋_GB2312"/>
          <w:sz w:val="32"/>
          <w:szCs w:val="32"/>
        </w:rPr>
      </w:pPr>
      <w:r>
        <w:rPr>
          <w:rFonts w:ascii="仿宋_GB2312" w:eastAsia="仿宋_GB2312" w:hAnsi="仿宋_GB2312" w:cs="仿宋_GB2312"/>
          <w:sz w:val="32"/>
        </w:rPr>
        <w:t>2019年度本年支出16,213.52万元，其中：基本支出15,093.93万元，占93.09%；项目支出1,119.59万元，占6.91%；上缴上级支出0万元，占0%；经营支出0万元，占0%；对附属单位补助支出0万元，占0%。</w:t>
      </w:r>
    </w:p>
    <w:p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8853A8" w:rsidRPr="001848EE" w:rsidRDefault="001C2D35">
      <w:pPr>
        <w:ind w:firstLineChars="200" w:firstLine="640"/>
        <w:rPr>
          <w:rFonts w:ascii="仿宋_GB2312" w:eastAsia="仿宋_GB2312"/>
          <w:sz w:val="32"/>
          <w:szCs w:val="32"/>
        </w:rPr>
      </w:pPr>
      <w:r>
        <w:rPr>
          <w:rFonts w:ascii="仿宋_GB2312" w:eastAsia="仿宋_GB2312" w:hAnsi="仿宋_GB2312" w:cs="仿宋_GB2312"/>
          <w:sz w:val="32"/>
        </w:rPr>
        <w:t>2019年度财政拨款收入2,957.93万元，与上年相比，增加614.47万元，增长26.22%，主要原因是：财政拨付专项资金较去年增加。财政拨款支出3,572.52万元，与上年相比，增加438.21万元，增长13.98%，主要原因是：财政拨付专项资金较去年增加。</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与年初预算数相比情况：财政拨款收入年初预算数2,694.55万元，决算数2,957.93万元，预决算差异率9.77%，主要原因是：年初预算只有本级项目以及预告知的项目，后期到达的部分专项资金通过预算追加下达，因此决算数大于年初预算数。财政拨款支出年初预算数2,694.55万元，决算数3,572.52万元，预决算差异率32.58%，主要原因是：年初预算只有本级项目以及预告知的项目，后期到达的部分专项资金通过预算追加下达，因此决算数大于年初预算数。</w:t>
      </w:r>
    </w:p>
    <w:p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8853A8" w:rsidRDefault="005529D0">
      <w:pPr>
        <w:ind w:firstLineChars="200" w:firstLine="640"/>
        <w:rPr>
          <w:rFonts w:ascii="仿宋_GB2312" w:eastAsia="仿宋_GB2312"/>
          <w:sz w:val="32"/>
          <w:szCs w:val="32"/>
        </w:rPr>
      </w:pPr>
      <w:r>
        <w:rPr>
          <w:rFonts w:ascii="仿宋_GB2312" w:eastAsia="仿宋_GB2312" w:hAnsi="仿宋_GB2312" w:cs="仿宋_GB2312"/>
          <w:sz w:val="32"/>
        </w:rPr>
        <w:t>2019年度一般公共预算财政拨款支出3,572.52万元。按功能分类科目项级科目公开，其中：</w:t>
      </w:r>
    </w:p>
    <w:p w:rsidR="0012043C" w:rsidRDefault="00825132">
      <w:pPr>
        <w:ind w:firstLine="480"/>
      </w:pPr>
      <w:r>
        <w:rPr>
          <w:rFonts w:ascii="仿宋_GB2312" w:eastAsia="仿宋_GB2312" w:hAnsi="仿宋_GB2312" w:cs="仿宋_GB2312"/>
          <w:sz w:val="32"/>
        </w:rPr>
        <w:t xml:space="preserve">   2080505</w:t>
      </w:r>
      <w:r>
        <w:rPr>
          <w:rFonts w:ascii="仿宋_GB2312" w:eastAsia="仿宋_GB2312" w:hAnsi="仿宋_GB2312" w:cs="仿宋_GB2312"/>
          <w:sz w:val="32"/>
        </w:rPr>
        <w:t>机关事业单位基本养老保险缴费支出</w:t>
      </w:r>
      <w:r>
        <w:rPr>
          <w:rFonts w:ascii="仿宋_GB2312" w:eastAsia="仿宋_GB2312" w:hAnsi="仿宋_GB2312" w:cs="仿宋_GB2312"/>
          <w:sz w:val="32"/>
        </w:rPr>
        <w:t>314.12</w:t>
      </w:r>
      <w:r>
        <w:rPr>
          <w:rFonts w:ascii="仿宋_GB2312" w:eastAsia="仿宋_GB2312" w:hAnsi="仿宋_GB2312" w:cs="仿宋_GB2312"/>
          <w:sz w:val="32"/>
        </w:rPr>
        <w:t>万元；</w:t>
      </w:r>
    </w:p>
    <w:p w:rsidR="0012043C" w:rsidRDefault="00825132">
      <w:pPr>
        <w:ind w:firstLine="480"/>
      </w:pPr>
      <w:r>
        <w:rPr>
          <w:rFonts w:ascii="仿宋_GB2312" w:eastAsia="仿宋_GB2312" w:hAnsi="仿宋_GB2312" w:cs="仿宋_GB2312"/>
          <w:sz w:val="32"/>
        </w:rPr>
        <w:t xml:space="preserve">   2080506</w:t>
      </w:r>
      <w:r>
        <w:rPr>
          <w:rFonts w:ascii="仿宋_GB2312" w:eastAsia="仿宋_GB2312" w:hAnsi="仿宋_GB2312" w:cs="仿宋_GB2312"/>
          <w:sz w:val="32"/>
        </w:rPr>
        <w:t>机关事业单位职业年金缴费支出</w:t>
      </w:r>
      <w:r>
        <w:rPr>
          <w:rFonts w:ascii="仿宋_GB2312" w:eastAsia="仿宋_GB2312" w:hAnsi="仿宋_GB2312" w:cs="仿宋_GB2312"/>
          <w:sz w:val="32"/>
        </w:rPr>
        <w:t>48.41</w:t>
      </w:r>
      <w:r>
        <w:rPr>
          <w:rFonts w:ascii="仿宋_GB2312" w:eastAsia="仿宋_GB2312" w:hAnsi="仿宋_GB2312" w:cs="仿宋_GB2312"/>
          <w:sz w:val="32"/>
        </w:rPr>
        <w:t>万元；</w:t>
      </w:r>
    </w:p>
    <w:p w:rsidR="0012043C" w:rsidRDefault="00825132">
      <w:pPr>
        <w:ind w:firstLine="480"/>
      </w:pPr>
      <w:r>
        <w:rPr>
          <w:rFonts w:ascii="仿宋_GB2312" w:eastAsia="仿宋_GB2312" w:hAnsi="仿宋_GB2312" w:cs="仿宋_GB2312"/>
          <w:sz w:val="32"/>
        </w:rPr>
        <w:t xml:space="preserve">   2100201</w:t>
      </w:r>
      <w:r>
        <w:rPr>
          <w:rFonts w:ascii="仿宋_GB2312" w:eastAsia="仿宋_GB2312" w:hAnsi="仿宋_GB2312" w:cs="仿宋_GB2312"/>
          <w:sz w:val="32"/>
        </w:rPr>
        <w:t>综合医院支出</w:t>
      </w:r>
      <w:r>
        <w:rPr>
          <w:rFonts w:ascii="仿宋_GB2312" w:eastAsia="仿宋_GB2312" w:hAnsi="仿宋_GB2312" w:cs="仿宋_GB2312"/>
          <w:sz w:val="32"/>
        </w:rPr>
        <w:t>3,084.99</w:t>
      </w:r>
      <w:r>
        <w:rPr>
          <w:rFonts w:ascii="仿宋_GB2312" w:eastAsia="仿宋_GB2312" w:hAnsi="仿宋_GB2312" w:cs="仿宋_GB2312"/>
          <w:sz w:val="32"/>
        </w:rPr>
        <w:t>万元；</w:t>
      </w:r>
    </w:p>
    <w:p w:rsidR="0012043C" w:rsidRDefault="00825132">
      <w:pPr>
        <w:ind w:firstLine="480"/>
      </w:pPr>
      <w:r>
        <w:rPr>
          <w:rFonts w:ascii="仿宋_GB2312" w:eastAsia="仿宋_GB2312" w:hAnsi="仿宋_GB2312" w:cs="仿宋_GB2312"/>
          <w:sz w:val="32"/>
        </w:rPr>
        <w:t xml:space="preserve">   2100302</w:t>
      </w:r>
      <w:r>
        <w:rPr>
          <w:rFonts w:ascii="仿宋_GB2312" w:eastAsia="仿宋_GB2312" w:hAnsi="仿宋_GB2312" w:cs="仿宋_GB2312"/>
          <w:sz w:val="32"/>
        </w:rPr>
        <w:t>乡镇卫生院支出</w:t>
      </w:r>
      <w:r>
        <w:rPr>
          <w:rFonts w:ascii="仿宋_GB2312" w:eastAsia="仿宋_GB2312" w:hAnsi="仿宋_GB2312" w:cs="仿宋_GB2312"/>
          <w:sz w:val="32"/>
        </w:rPr>
        <w:t>120</w:t>
      </w:r>
      <w:r>
        <w:rPr>
          <w:rFonts w:ascii="仿宋_GB2312" w:eastAsia="仿宋_GB2312" w:hAnsi="仿宋_GB2312" w:cs="仿宋_GB2312"/>
          <w:sz w:val="32"/>
        </w:rPr>
        <w:t>万元；</w:t>
      </w:r>
    </w:p>
    <w:p w:rsidR="0012043C" w:rsidRDefault="00825132">
      <w:pPr>
        <w:ind w:firstLine="480"/>
      </w:pPr>
      <w:r>
        <w:rPr>
          <w:rFonts w:ascii="仿宋_GB2312" w:eastAsia="仿宋_GB2312" w:hAnsi="仿宋_GB2312" w:cs="仿宋_GB2312"/>
          <w:sz w:val="32"/>
        </w:rPr>
        <w:t xml:space="preserve">   2111001</w:t>
      </w:r>
      <w:r>
        <w:rPr>
          <w:rFonts w:ascii="仿宋_GB2312" w:eastAsia="仿宋_GB2312" w:hAnsi="仿宋_GB2312" w:cs="仿宋_GB2312"/>
          <w:sz w:val="32"/>
        </w:rPr>
        <w:t>能源节约利用支出</w:t>
      </w:r>
      <w:r>
        <w:rPr>
          <w:rFonts w:ascii="仿宋_GB2312" w:eastAsia="仿宋_GB2312" w:hAnsi="仿宋_GB2312" w:cs="仿宋_GB2312"/>
          <w:sz w:val="32"/>
        </w:rPr>
        <w:t>5</w:t>
      </w:r>
      <w:r>
        <w:rPr>
          <w:rFonts w:ascii="仿宋_GB2312" w:eastAsia="仿宋_GB2312" w:hAnsi="仿宋_GB2312" w:cs="仿宋_GB2312"/>
          <w:sz w:val="32"/>
        </w:rPr>
        <w:t>万元。</w:t>
      </w:r>
    </w:p>
    <w:p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rsidR="008853A8" w:rsidRDefault="005B1DE6">
      <w:pPr>
        <w:ind w:firstLineChars="200" w:firstLine="640"/>
        <w:rPr>
          <w:rFonts w:ascii="仿宋_GB2312" w:eastAsia="仿宋_GB2312"/>
          <w:sz w:val="32"/>
          <w:szCs w:val="32"/>
        </w:rPr>
      </w:pPr>
      <w:r>
        <w:rPr>
          <w:rFonts w:ascii="仿宋_GB2312" w:eastAsia="仿宋_GB2312" w:hAnsi="仿宋_GB2312" w:cs="仿宋_GB2312"/>
          <w:sz w:val="32"/>
        </w:rPr>
        <w:t>2019年度一般公共预算财政拨款基本支出2,452.93万元，其中：</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人员经费2,452.93万元，包括：基本工资、津贴补贴、机关事业单位基本养老保险缴费、职业年金缴费、职工基本医疗保险缴费、退休费、抚恤金、生活补助、奖励金。</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公用经费0万元。</w:t>
      </w:r>
    </w:p>
    <w:p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rsidR="008853A8" w:rsidRDefault="00340AE7">
      <w:pPr>
        <w:ind w:firstLineChars="200" w:firstLine="640"/>
        <w:rPr>
          <w:rFonts w:ascii="仿宋_GB2312" w:eastAsia="仿宋_GB2312"/>
          <w:sz w:val="32"/>
          <w:szCs w:val="32"/>
        </w:rPr>
      </w:pPr>
      <w:r>
        <w:rPr>
          <w:rFonts w:ascii="仿宋_GB2312" w:eastAsia="仿宋_GB2312" w:hAnsi="仿宋_GB2312" w:cs="仿宋_GB2312"/>
          <w:sz w:val="32"/>
        </w:rPr>
        <w:t>2019年度一般公共预算“三公”经费支出决算0万元，比上年增加0万元，增长0%，主要原因是与上年相比无变动，与上年一致。其中，因公出国（境）费支出0万元，占0%，比上年增加0万元，增长0%</w:t>
      </w:r>
      <w:r w:rsidR="00266444">
        <w:rPr>
          <w:rFonts w:ascii="仿宋_GB2312" w:eastAsia="仿宋_GB2312" w:hAnsi="仿宋_GB2312" w:cs="仿宋_GB2312"/>
          <w:sz w:val="32"/>
        </w:rPr>
        <w:t>，主要原因是与上年相比无变动，与上年一致</w:t>
      </w:r>
      <w:r>
        <w:rPr>
          <w:rFonts w:ascii="仿宋_GB2312" w:eastAsia="仿宋_GB2312" w:hAnsi="仿宋_GB2312" w:cs="仿宋_GB2312"/>
          <w:sz w:val="32"/>
        </w:rPr>
        <w:t>；公务用车购置及运行维护费支出0万元，占0%，比上年增加0万元，增长0%</w:t>
      </w:r>
      <w:r w:rsidR="00266444">
        <w:rPr>
          <w:rFonts w:ascii="仿宋_GB2312" w:eastAsia="仿宋_GB2312" w:hAnsi="仿宋_GB2312" w:cs="仿宋_GB2312"/>
          <w:sz w:val="32"/>
        </w:rPr>
        <w:t>，主要原因是与上年相比无变动，与上年一致</w:t>
      </w:r>
      <w:r>
        <w:rPr>
          <w:rFonts w:ascii="仿宋_GB2312" w:eastAsia="仿宋_GB2312" w:hAnsi="仿宋_GB2312" w:cs="仿宋_GB2312"/>
          <w:sz w:val="32"/>
        </w:rPr>
        <w:t>；公务接待费支出0万元，占0%，比上年增加0万元，增长0%，主要原因是与上年相比无变动，与上年一致。具体情况如下：</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因公出国（境）费支出0万元，开支内容包括：预算未安排，无此项支出。单位全年安排的因公出国（境）团组0个，因公出国（境）0人次。</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公务用车购置及运行维护费0万元，其中，公务用车购置费0万元，公务用车运行维护费0万元。公务用车运行维护费开支内容包括预算未安排，无此项支出。公务用车购置数0辆，公务用车保有量0辆。</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公务接待费0万元，开支内容包括预算未安排，无此项支出。单位全年安排的国内公务接待0批次，0人次。</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与年初预算数相比情况：一般公共预算“三公”经费支出年初预算数0万元，决算数0万元，预决算差异率0%，主要原因是：预算未安排，也无相应支出，因此预决算无差异。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0万元，决算数0万元，预决算差异率0%，主要原因是：预算未安排，也无相应支出，因此预决算无差异；公务接待费预算数0万元，决算数0万元，预决算差异率0%，主要原因是：预算未安排，也无相应支出，因此预决算无差异。</w:t>
      </w:r>
    </w:p>
    <w:p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rsidR="008853A8" w:rsidRPr="008F7D99" w:rsidRDefault="00922FA7">
      <w:pPr>
        <w:ind w:firstLineChars="200" w:firstLine="640"/>
        <w:rPr>
          <w:rFonts w:ascii="仿宋_GB2312" w:eastAsia="仿宋_GB2312"/>
          <w:color w:val="000000" w:themeColor="text1"/>
          <w:sz w:val="32"/>
          <w:szCs w:val="32"/>
        </w:rPr>
      </w:pPr>
      <w:r>
        <w:rPr>
          <w:rFonts w:ascii="仿宋_GB2312" w:eastAsia="仿宋_GB2312" w:hAnsi="仿宋_GB2312" w:cs="仿宋_GB2312"/>
          <w:sz w:val="32"/>
        </w:rPr>
        <w:t>我单位本年度无政府性基金预算财政拨款收入支出，政府性基金预算财政拨款收入支出决算表为空表。</w:t>
      </w:r>
    </w:p>
    <w:p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rsidR="00553FB5" w:rsidRDefault="00553FB5">
      <w:pPr>
        <w:ind w:firstLineChars="200" w:firstLine="640"/>
        <w:rPr>
          <w:rFonts w:ascii="仿宋_GB2312" w:eastAsia="仿宋_GB2312"/>
          <w:sz w:val="32"/>
          <w:szCs w:val="32"/>
        </w:rPr>
      </w:pPr>
      <w:r>
        <w:rPr>
          <w:rFonts w:ascii="仿宋_GB2312" w:eastAsia="仿宋_GB2312" w:hAnsi="仿宋_GB2312" w:cs="仿宋_GB2312"/>
          <w:sz w:val="32"/>
        </w:rPr>
        <w:t>新疆喀什地区麦盖提县人民医院日常公用经费0万元，比上年增加0万元，增长0%，主要原因是与上年相比无变动，与上年一致。</w:t>
      </w:r>
    </w:p>
    <w:p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rsidR="008853A8" w:rsidRDefault="002122DE">
      <w:pPr>
        <w:ind w:firstLineChars="200" w:firstLine="640"/>
        <w:rPr>
          <w:rFonts w:ascii="仿宋_GB2312" w:eastAsia="仿宋_GB2312"/>
          <w:sz w:val="32"/>
          <w:szCs w:val="32"/>
        </w:rPr>
      </w:pPr>
      <w:r>
        <w:rPr>
          <w:rFonts w:ascii="仿宋_GB2312" w:eastAsia="仿宋_GB2312" w:hAnsi="仿宋_GB2312" w:cs="仿宋_GB2312"/>
          <w:sz w:val="32"/>
        </w:rPr>
        <w:t>2019年度政府采购支出总额674.32万元，其中：政府采购货物支出539.32万元、政府采购工程支出0万元、政府采购服务支出135万元。</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授予中小企业合同金额135万元，占政府采购支出总额的20.02%，其中：授予小微企业合同金额135万元，占政府采购支出总额的20.02%。</w:t>
      </w:r>
    </w:p>
    <w:p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截止2019年12月31日，单位共有房屋37,188.92（平方米），价值9,980.37万元。车辆1辆，价值16.15万元，其中：副部（省）级及以上领导用车0辆、主要领导干部用车0辆、机要通信用车0辆、应急保障用车0辆、执法执勤用车0辆、特种专业技术用车0辆、离退休干部用车0辆、其他用车1辆，其他用车主要是：医疗服务用车，用于指导各乡镇卫生院医疗业务工作和业务培训；单位价值50万元以上通用设备16台（套）、单位价值100万元以上专用设备1台（套）。</w:t>
      </w:r>
    </w:p>
    <w:p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十、预算绩效的情况说明</w:t>
      </w:r>
      <w:bookmarkEnd w:id="32"/>
      <w:bookmarkEnd w:id="33"/>
    </w:p>
    <w:p w:rsidR="008853A8" w:rsidRDefault="0095219B">
      <w:pPr>
        <w:ind w:firstLineChars="200" w:firstLine="640"/>
        <w:rPr>
          <w:rFonts w:ascii="仿宋_GB2312" w:eastAsia="仿宋_GB2312"/>
          <w:sz w:val="32"/>
          <w:szCs w:val="32"/>
        </w:rPr>
      </w:pPr>
      <w:r>
        <w:rPr>
          <w:rFonts w:ascii="仿宋_GB2312" w:eastAsia="仿宋_GB2312" w:hAnsi="仿宋_GB2312" w:cs="仿宋_GB2312"/>
          <w:sz w:val="32"/>
        </w:rPr>
        <w:t>根据预算绩效管理要求，我单位2019年度开展预算绩效评价项目4个，共涉及资金529.20万元。预算绩效管理取得的成效：1、2019年自治区节能减排项目资金：节能减排意识显著提升；2、援疆资金骨科专科项目：降低患者因神经外科和骨科病人转院、风险和死亡率的发生显著降低；3、2019年自治区南疆四地州乡村医生远程培训能力：提升乡、村两级基层医疗机构诊疗能力，提升基层医院服务能力，远程培训、实地培训、实地操作培训（包括医疗培训、医技培训、护理培训、药学培训、院感培训）,降低外转率，减轻患者经济负担，争取小病不出村、中病不出县；4、2019年贫困地区县级医院服务能力提升建设项目资金：提升医院综合诊疗能力，重点打造5个中心建设，（胸痛中心、卒中中心、创伤中心、高危孕产妇救治中心、危重儿童和新儿救治中心），提升医院服务能力，降低外转率，争取中病不出县。发现的问题及原因：一是需进一步提高预算的前瞻性，细化预算编制；二是需进一步加强预算绩效组织体系的建设。下一步改进措施：一是不断加强管理，细化预算，进一步从源头细化、编准、编实预算，努力做到预算制度与政策细化，预算项目和资金精细，预算编制和执行精细。二是不断加强预算绩效组织体系建设，成立预算绩效管理工作领导小组，安排专人负责绩效目标管理与绩效评价。具体项目自评情况附项目支出绩效自评表。</w:t>
      </w:r>
    </w:p>
    <w:p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rsidSect="0012043C">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132" w:rsidRDefault="00825132">
      <w:r>
        <w:separator/>
      </w:r>
    </w:p>
  </w:endnote>
  <w:endnote w:type="continuationSeparator" w:id="0">
    <w:p w:rsidR="00825132" w:rsidRDefault="008251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altName w:val="微软雅黑"/>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8" w:rsidRDefault="0012043C">
    <w:pPr>
      <w:pStyle w:val="a4"/>
    </w:pPr>
    <w:r>
      <w:rPr>
        <w:noProof/>
      </w:rPr>
      <w:pict>
        <v:shapetype id="_x0000_t202" coordsize="21600,21600" o:spt="202" path="m,l,21600r21600,l21600,xe">
          <v:stroke joinstyle="miter"/>
          <v:path gradientshapeok="t" o:connecttype="rect"/>
        </v:shapetype>
        <v:shape id="文本框 1" o:spid="_x0000_s4097" type="#_x0000_t202" style="position:absolute;margin-left:0;margin-top:0;width:2in;height:2in;z-index:251657728;visibility:visible;mso-wrap-style:none;mso-position-horizontal:center;mso-position-horizontal-relative:margin" filled="f" stroked="f">
          <v:textbox style="mso-fit-shape-to-text:t" inset="0,0,0,0">
            <w:txbxContent>
              <w:p w:rsidR="008853A8" w:rsidRDefault="0012043C">
                <w:pPr>
                  <w:pStyle w:val="a4"/>
                </w:pPr>
                <w:r>
                  <w:rPr>
                    <w:rFonts w:hint="eastAsia"/>
                  </w:rPr>
                  <w:fldChar w:fldCharType="begin"/>
                </w:r>
                <w:r w:rsidR="008853A8">
                  <w:rPr>
                    <w:rFonts w:hint="eastAsia"/>
                  </w:rPr>
                  <w:instrText xml:space="preserve"> PAGE  \* MERGEFORMAT </w:instrText>
                </w:r>
                <w:r>
                  <w:rPr>
                    <w:rFonts w:hint="eastAsia"/>
                  </w:rPr>
                  <w:fldChar w:fldCharType="separate"/>
                </w:r>
                <w:r w:rsidR="008853A8">
                  <w:rPr>
                    <w:rFonts w:hint="eastAsia"/>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132" w:rsidRDefault="00825132">
      <w:r>
        <w:separator/>
      </w:r>
    </w:p>
  </w:footnote>
  <w:footnote w:type="continuationSeparator" w:id="0">
    <w:p w:rsidR="00825132" w:rsidRDefault="008251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80"/>
  <w:bordersDoNotSurroundHeader/>
  <w:bordersDoNotSurroundFooter/>
  <w:proofState w:spelling="clean"/>
  <w:documentProtection w:edit="comments" w:enforcement="0"/>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043C"/>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66444"/>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5132"/>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043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toc 2"/>
    <w:basedOn w:val="a"/>
    <w:next w:val="a"/>
    <w:rsid w:val="0012043C"/>
    <w:pPr>
      <w:ind w:leftChars="200" w:left="420"/>
    </w:pPr>
  </w:style>
  <w:style w:type="paragraph" w:styleId="1">
    <w:name w:val="toc 1"/>
    <w:basedOn w:val="a"/>
    <w:next w:val="a"/>
    <w:rsid w:val="0012043C"/>
  </w:style>
  <w:style w:type="paragraph" w:styleId="a3">
    <w:name w:val="header"/>
    <w:basedOn w:val="a"/>
    <w:rsid w:val="0012043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
    <w:name w:val="toc 3"/>
    <w:basedOn w:val="a"/>
    <w:next w:val="a"/>
    <w:rsid w:val="0012043C"/>
    <w:pPr>
      <w:ind w:leftChars="400" w:left="840"/>
    </w:pPr>
  </w:style>
  <w:style w:type="paragraph" w:styleId="a4">
    <w:name w:val="footer"/>
    <w:basedOn w:val="a"/>
    <w:rsid w:val="0012043C"/>
    <w:pPr>
      <w:tabs>
        <w:tab w:val="center" w:pos="4153"/>
        <w:tab w:val="right" w:pos="8306"/>
      </w:tabs>
      <w:snapToGrid w:val="0"/>
      <w:jc w:val="left"/>
    </w:pPr>
    <w:rPr>
      <w:sz w:val="18"/>
    </w:rPr>
  </w:style>
  <w:style w:type="paragraph" w:styleId="a5">
    <w:name w:val="annotation text"/>
    <w:basedOn w:val="a"/>
    <w:rsid w:val="0012043C"/>
    <w:pPr>
      <w:jc w:val="left"/>
    </w:pPr>
  </w:style>
  <w:style w:type="paragraph" w:customStyle="1" w:styleId="WPSOffice3">
    <w:name w:val="WPSOffice手动目录 3"/>
    <w:rsid w:val="0012043C"/>
    <w:pPr>
      <w:ind w:leftChars="400" w:left="400"/>
    </w:pPr>
  </w:style>
  <w:style w:type="paragraph" w:customStyle="1" w:styleId="WPSOffice2">
    <w:name w:val="WPSOffice手动目录 2"/>
    <w:rsid w:val="0012043C"/>
    <w:pPr>
      <w:ind w:leftChars="200" w:left="200"/>
    </w:pPr>
  </w:style>
  <w:style w:type="paragraph" w:customStyle="1" w:styleId="WPSOffice1">
    <w:name w:val="WPSOffice手动目录 1"/>
    <w:rsid w:val="0012043C"/>
  </w:style>
</w:styles>
</file>

<file path=word/webSettings.xml><?xml version="1.0" encoding="utf-8"?>
<w:webSettings xmlns:r="http://schemas.openxmlformats.org/officeDocument/2006/relationships" xmlns:w="http://schemas.openxmlformats.org/wordprocessingml/2006/main">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856</Words>
  <Characters>4885</Characters>
  <Application>Microsoft Office Word</Application>
  <DocSecurity>0</DocSecurity>
  <Lines>40</Lines>
  <Paragraphs>11</Paragraphs>
  <ScaleCrop>false</ScaleCrop>
  <Company/>
  <LinksUpToDate>false</LinksUpToDate>
  <CharactersWithSpaces>5730</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9</cp:revision>
  <dcterms:created xsi:type="dcterms:W3CDTF">2020-09-08T14:04:00Z</dcterms:created>
  <dcterms:modified xsi:type="dcterms:W3CDTF">2020-10-11T10:07:00Z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