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新疆喀什地区麦盖提县医疗保障局2019年度部门决算公开说明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贯彻落实国家和自治区医疗保险、生育保险、人身意外伤害保险、医疗救济帮助等医疗保障制度；提出县医疗保障制度的政策、规划和标准并组织实施；拟订全县医疗保险、生育保险、大病保险、大额医疗补助、公务员医疗补助、企事业单位补充医疗保险、长期护理保险、医疗救济帮助、离休人员和优抚对象医疗保障等政策、管理办法并组织实施。</w:t>
      </w:r>
    </w:p>
    <w:p>
      <w:pPr>
        <w:ind w:firstLine="480"/>
        <w:jc w:val="both"/>
      </w:pPr>
      <w:r>
        <w:rPr>
          <w:rFonts w:ascii="仿宋_GB2312" w:hAnsi="仿宋_GB2312" w:cs="仿宋_GB2312" w:eastAsia="仿宋_GB2312"/>
          <w:b w:val="false"/>
          <w:sz w:val="32"/>
        </w:rPr>
        <w:t>(二）拟订并实施医疗保障基金监督管理办法，建立健全医疗保障基金安全防控机制，承担推进医疗保障基金支付方式改革工作，编制全县医疗保障基金预决算草案。</w:t>
      </w:r>
    </w:p>
    <w:p>
      <w:pPr>
        <w:ind w:firstLine="480"/>
        <w:jc w:val="both"/>
      </w:pPr>
      <w:r>
        <w:rPr>
          <w:rFonts w:ascii="仿宋_GB2312" w:hAnsi="仿宋_GB2312" w:cs="仿宋_GB2312" w:eastAsia="仿宋_GB2312"/>
          <w:b w:val="false"/>
          <w:sz w:val="32"/>
        </w:rPr>
        <w:t>(三）贯彻落实本县关于医疗保障筹资和待遇政策，完善动态调整和区域调剂平衡机制，统筹城乡医疗保障待遇标准，建立健全与筹资水平相适应的待遇调整机制。拟订并组织实施长期护理保险制度改革方案。</w:t>
      </w:r>
    </w:p>
    <w:p>
      <w:pPr>
        <w:ind w:firstLine="480"/>
        <w:jc w:val="both"/>
      </w:pPr>
      <w:r>
        <w:rPr>
          <w:rFonts w:ascii="仿宋_GB2312" w:hAnsi="仿宋_GB2312" w:cs="仿宋_GB2312" w:eastAsia="仿宋_GB2312"/>
          <w:b w:val="false"/>
          <w:sz w:val="32"/>
        </w:rPr>
        <w:t>(四）贯彻落实国家、自治区、地区药品、医用耗材价格和医疗服务项目、医疗服务设施收费等政策并监督实施，执行自治区制定的药品、医用耗材的招标采购政策并监督实施，建立健全医保支付医药服务价格合理确定和动态调整机制，建立市场主导的社会医药服务价格形成机制，建立医药服务价格信息监测和信息发布制度。</w:t>
      </w:r>
    </w:p>
    <w:p>
      <w:pPr>
        <w:ind w:firstLine="480"/>
        <w:jc w:val="both"/>
      </w:pPr>
      <w:r>
        <w:rPr>
          <w:rFonts w:ascii="仿宋_GB2312" w:hAnsi="仿宋_GB2312" w:cs="仿宋_GB2312" w:eastAsia="仿宋_GB2312"/>
          <w:b w:val="false"/>
          <w:sz w:val="32"/>
        </w:rPr>
        <w:t>(五）贯彻落实国家、自治区、地区药品、医用耗材、医疗服务项目、医疗服务设施等医保目录和支付标准，建立动态调整机制。</w:t>
      </w:r>
    </w:p>
    <w:p>
      <w:pPr>
        <w:ind w:firstLine="480"/>
        <w:jc w:val="both"/>
      </w:pPr>
      <w:r>
        <w:rPr>
          <w:rFonts w:ascii="仿宋_GB2312" w:hAnsi="仿宋_GB2312" w:cs="仿宋_GB2312" w:eastAsia="仿宋_GB2312"/>
          <w:b w:val="false"/>
          <w:sz w:val="32"/>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pPr>
        <w:ind w:firstLine="480"/>
        <w:jc w:val="both"/>
      </w:pPr>
      <w:r>
        <w:rPr>
          <w:rFonts w:ascii="仿宋_GB2312" w:hAnsi="仿宋_GB2312" w:cs="仿宋_GB2312" w:eastAsia="仿宋_GB2312"/>
          <w:b w:val="false"/>
          <w:sz w:val="32"/>
        </w:rPr>
        <w:t>(七）负责全县医疗保障经办管理、公共服务体系和信息化建设。贯彻落实国家和自治区跨省异地就医管理和费用结算政策，组织制定全县异地就医和费用结算政策。建立健全医疗保障关系转移接续制度。监督指导医疗保障经办机构开展业务工作。</w:t>
      </w:r>
    </w:p>
    <w:p>
      <w:pPr>
        <w:ind w:firstLine="480"/>
        <w:jc w:val="both"/>
      </w:pPr>
      <w:r>
        <w:rPr>
          <w:rFonts w:ascii="仿宋_GB2312" w:hAnsi="仿宋_GB2312" w:cs="仿宋_GB2312" w:eastAsia="仿宋_GB2312"/>
          <w:b w:val="false"/>
          <w:sz w:val="32"/>
        </w:rPr>
        <w:t>(八）承办县委、政府交办的其他任务。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新疆喀什地区麦盖提县医疗保障局2019年度，实有人数16人，其中：在职人员16人，离休人员0人，退休人员0人。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从部门决算单位构成看，新疆喀什地区麦盖提县医疗保障局部门决算包括：新疆喀什地区麦盖提县医疗保障局决算。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3,614.49万元，与上年相比，增加3,614.49万元，增长100%，主要原因是：机构改革，19年3月份新成立单位。本年支出3,614.49万元，与上年相比，增加3,614.49万元，增长100%，主要原因是：机构改革，19年3月份新成立单位。</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2019年度本年收入3,614.49万元，其中：财政拨款收入3,614.49万元，占100%；上级补助收入0万元，占0%；事业收入0万元，占0%；经营收入0万元，占0%；附属单位上缴收入0万元，占0%；其他收入0万元，占0%。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2019年度本年支出3,614.49万元，其中：基本支出72.65万元，占2.01%；项目支出3,541.84万元，占97.99%；上缴上级支出0万元，占0%；经营支出0万元，占0%；对附属单位补助支出0万元，占0%。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3,614.49万元，与上年相比，增加3,614.49万元，增长100%，主要原因是：机构改革，19年3月份新成立单位。财政拨款支出3,614.49万元，与上年相比，增加3,614.49万元，增长100%，主要原因是：机构改革，19年3月份新成立单位。</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0万元，决算数3,614.49万元，预决算差异率100%，主要原因是：涉改单位19年3月份新成立，年初无预算，年中追加预算，因此决算数大于年初预算数。财政拨款支出年初预算数0万元，决算数3,614.49万元，预决算差异率100%，主要原因是：涉改单位19年3月份新成立，年初无预算，年中追加预算，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2019年度一般公共预算财政拨款支出3,403.49万元。按功能分类科目项级科目公开，其中：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2080505机关事业单位基本养老保险缴费支出6.99万元；</w:t>
      </w:r>
    </w:p>
    <w:p>
      <w:pPr>
        <w:ind w:firstLine="480"/>
        <w:jc w:val="both"/>
      </w:pPr>
      <w:r>
        <w:rPr>
          <w:rFonts w:ascii="仿宋_GB2312" w:hAnsi="仿宋_GB2312" w:cs="仿宋_GB2312" w:eastAsia="仿宋_GB2312"/>
          <w:b w:val="false"/>
          <w:sz w:val="32"/>
        </w:rPr>
        <w:t xml:space="preserve">   2101301城乡医疗救济帮助支出3,322.84万元；</w:t>
      </w:r>
    </w:p>
    <w:p>
      <w:pPr>
        <w:ind w:firstLine="480"/>
        <w:jc w:val="both"/>
      </w:pPr>
      <w:r>
        <w:rPr>
          <w:rFonts w:ascii="仿宋_GB2312" w:hAnsi="仿宋_GB2312" w:cs="仿宋_GB2312" w:eastAsia="仿宋_GB2312"/>
          <w:b w:val="false"/>
          <w:sz w:val="32"/>
        </w:rPr>
        <w:t xml:space="preserve">   2101501行政运行支出60.03万元；</w:t>
      </w:r>
    </w:p>
    <w:p>
      <w:pPr>
        <w:ind w:firstLine="480"/>
        <w:jc w:val="both"/>
      </w:pPr>
      <w:r>
        <w:rPr>
          <w:rFonts w:ascii="仿宋_GB2312" w:hAnsi="仿宋_GB2312" w:cs="仿宋_GB2312" w:eastAsia="仿宋_GB2312"/>
          <w:b w:val="false"/>
          <w:sz w:val="32"/>
        </w:rPr>
        <w:t xml:space="preserve">   2101599其他医疗保障管理事务支出8万元；</w:t>
      </w:r>
    </w:p>
    <w:p>
      <w:pPr>
        <w:ind w:firstLine="480"/>
        <w:jc w:val="both"/>
      </w:pPr>
      <w:r>
        <w:rPr>
          <w:rFonts w:ascii="仿宋_GB2312" w:hAnsi="仿宋_GB2312" w:cs="仿宋_GB2312" w:eastAsia="仿宋_GB2312"/>
          <w:b w:val="false"/>
          <w:sz w:val="32"/>
        </w:rPr>
        <w:t xml:space="preserve">   2210201住房公积金支出5.63万元。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2019年度一般公共预算财政拨款基本支出72.65万元，其中：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人员经费70.65万元，包括：基本工资、津贴补贴、奖金、机关事业单位基本养老保险缴费、职工基本医疗保险缴费、公务员医疗补助缴费、其他社会保障缴费、住房公积金。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公用经费2万元，包括：办公费、手续费、邮电费、差旅费。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预算未安排，也无相应支出，因此预决算无差异。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0万元，预决算差异率0%，主要原因是：预算未安排，也无相应支出，因此预决算无差异；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211万元，与上年相比，增加211万元，增长100%，主要原因是：涉改单位19年新成立，年中追加预算资金，因此较去年增长。政府性基金预算支出211万元，与上年相比，增加211万元，增长100%，主要原因是：涉改单位19年新成立，年中追加预算资金，因此较去年增长。</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2019年度新疆喀什地区麦盖提县医疗保障局机关运行经费支出2万元，比上年增加2万元，增长100%，主要原因是涉改单位19年3月份新设立，年中追加经费，因此机关运行经费较去年增加。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本单位无车辆；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3729万元。预算绩效管理取得的成效：城乡医疗救济帮助项目：1、帮助因病困难的城乡居民实施医疗救济帮助，临时医疗救济帮助≥5000人次，实行“一站式”结算便捷群众就医，减轻医疗费负担；2、帮助民政救助对象参加基本医疗保险≥35000人；3、帮助建档立卡贫困户对象参加基本医疗保险覆盖率100%。发现的问题及原因：因涉及机构改革和职能划转，在接收业务时经验不足，政策与业务衔接不协调导致资金支付进度较慢，信息共享力度有待于加强。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今后将加强资金管理，严格执行资金管理办法和财政资金管理制度，按照项目实施方案、项目进度表严格执行，稳步推进，并对各项指标和指标值的设定要进一步优化、完善，积极与医疗机构协调配合，做到费用及时结算，加强与财政部门合作，提高资金使用效率。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r7Vk4ZSf28pGNV0PlWZ/Nw==" w:hash="n0oIpT3U9UddWlVfJBoqIV6Sz9c="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