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rPr>
          <w:rFonts w:ascii="黑体" w:hAnsi="黑体" w:eastAsia="黑体"/>
          <w:sz w:val="32"/>
          <w:szCs w:val="32"/>
        </w:rPr>
      </w:pPr>
      <w:r>
        <w:rPr>
          <w:rFonts w:hint="eastAsia" w:ascii="黑体" w:hAnsi="黑体" w:eastAsia="黑体"/>
          <w:sz w:val="32"/>
          <w:szCs w:val="32"/>
        </w:rPr>
        <w:t>附件：</w:t>
      </w: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p>
    <w:p>
      <w:pPr>
        <w:jc w:val="center"/>
        <w:rPr>
          <w:rFonts w:ascii="方正小标宋_GBK" w:hAnsi="宋体" w:eastAsia="方正小标宋_GBK"/>
          <w:sz w:val="44"/>
          <w:szCs w:val="44"/>
        </w:rPr>
      </w:pPr>
      <w:r>
        <w:rPr>
          <w:rFonts w:ascii="方正小标宋_GBK" w:hAnsi="方正小标宋_GBK" w:eastAsia="方正小标宋_GBK" w:cs="方正小标宋_GBK"/>
          <w:sz w:val="44"/>
        </w:rPr>
        <w:t>新疆喀什地区麦盖提县刀郎艺术团2019年度部门决算公开说明</w:t>
      </w:r>
    </w:p>
    <w:p>
      <w:pPr>
        <w:jc w:val="center"/>
        <w:rPr>
          <w:rFonts w:ascii="仿宋_GB2312" w:hAnsi="仿宋_GB2312" w:eastAsia="仿宋_GB2312" w:cs="仿宋_GB2312"/>
          <w:bCs/>
          <w:kern w:val="0"/>
          <w:sz w:val="32"/>
          <w:szCs w:val="32"/>
        </w:rPr>
      </w:pPr>
      <w:r>
        <w:rPr>
          <w:rFonts w:hint="eastAsia" w:ascii="方正小标宋_GBK" w:hAnsi="宋体" w:eastAsia="方正小标宋_GBK"/>
          <w:sz w:val="44"/>
          <w:szCs w:val="44"/>
        </w:rPr>
        <w:br w:type="page"/>
      </w:r>
      <w:r>
        <w:rPr>
          <w:rFonts w:hint="eastAsia" w:ascii="仿宋_GB2312" w:hAnsi="仿宋_GB2312" w:eastAsia="仿宋_GB2312" w:cs="仿宋_GB2312"/>
          <w:b/>
          <w:kern w:val="0"/>
          <w:sz w:val="36"/>
          <w:szCs w:val="36"/>
        </w:rPr>
        <w:t>目 录</w:t>
      </w:r>
    </w:p>
    <w:p>
      <w:pPr>
        <w:pStyle w:val="6"/>
        <w:tabs>
          <w:tab w:val="right" w:pos="8306"/>
        </w:tabs>
        <w:rPr>
          <w:rFonts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部门单位概况</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七、一般公共预算财政拨款“三公”经费支出决算情况说明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八、政府性基金预算收入支出决算情况说明</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bCs/>
          <w:kern w:val="0"/>
          <w:sz w:val="32"/>
          <w:szCs w:val="32"/>
        </w:rPr>
        <w:t>九、其他重要事项的情况说明</w:t>
      </w:r>
      <w:r>
        <w:rPr>
          <w:rFonts w:hint="eastAsia" w:ascii="仿宋_GB2312" w:hAnsi="仿宋_GB2312" w:eastAsia="仿宋_GB2312" w:cs="仿宋_GB2312"/>
          <w:bCs/>
          <w:kern w:val="0"/>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pPr>
        <w:pStyle w:val="3"/>
        <w:tabs>
          <w:tab w:val="right" w:pos="8306"/>
        </w:tabs>
        <w:ind w:left="0" w:leftChars="0"/>
        <w:rPr>
          <w:rFonts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十、预算绩效的情况说明</w:t>
      </w:r>
      <w:r>
        <w:rPr>
          <w:rFonts w:hint="eastAsia" w:ascii="仿宋_GB2312" w:hAnsi="仿宋_GB2312" w:eastAsia="仿宋_GB2312" w:cs="仿宋_GB2312"/>
          <w:bCs/>
          <w:kern w:val="0"/>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pPr>
        <w:pStyle w:val="6"/>
        <w:tabs>
          <w:tab w:val="right" w:pos="8306"/>
        </w:tabs>
        <w:rPr>
          <w:rFonts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七、《一般公共预算财政拨款“三公”经费支出决算表》</w:t>
      </w:r>
      <w:r>
        <w:rPr>
          <w:rFonts w:hint="eastAsia" w:ascii="仿宋_GB2312" w:hAnsi="仿宋_GB2312" w:eastAsia="仿宋_GB2312" w:cs="仿宋_GB2312"/>
          <w:bCs/>
          <w:kern w:val="0"/>
          <w:sz w:val="32"/>
          <w:szCs w:val="32"/>
        </w:rPr>
        <w:fldChar w:fldCharType="end"/>
      </w:r>
    </w:p>
    <w:p>
      <w:pPr>
        <w:pStyle w:val="7"/>
        <w:tabs>
          <w:tab w:val="right" w:pos="8306"/>
        </w:tabs>
        <w:ind w:left="0" w:leftChars="0"/>
        <w:rPr>
          <w:rFonts w:ascii="仿宋_GB2312" w:hAnsi="仿宋_GB2312" w:eastAsia="仿宋_GB2312" w:cs="仿宋_GB2312"/>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r>
        <w:rPr>
          <w:rFonts w:hint="eastAsia" w:ascii="仿宋_GB2312" w:hAnsi="仿宋_GB2312" w:eastAsia="仿宋_GB2312" w:cs="仿宋_GB2312"/>
          <w:sz w:val="32"/>
          <w:szCs w:val="32"/>
        </w:rPr>
        <w:fldChar w:fldCharType="end"/>
      </w:r>
    </w:p>
    <w:p>
      <w:pPr>
        <w:ind w:firstLine="640" w:firstLineChars="200"/>
        <w:jc w:val="center"/>
        <w:outlineLvl w:val="0"/>
        <w:rPr>
          <w:rFonts w:ascii="黑体" w:hAnsi="黑体" w:eastAsia="黑体"/>
          <w:sz w:val="32"/>
          <w:szCs w:val="32"/>
        </w:rPr>
      </w:pPr>
      <w:r>
        <w:rPr>
          <w:rFonts w:hint="eastAsia" w:ascii="仿宋_GB2312" w:eastAsia="仿宋_GB2312"/>
          <w:sz w:val="32"/>
          <w:szCs w:val="32"/>
        </w:rPr>
        <w:br w:type="page"/>
      </w:r>
      <w:bookmarkStart w:id="0" w:name="_Toc32314"/>
      <w:bookmarkStart w:id="1" w:name="_Toc24028"/>
      <w:r>
        <w:rPr>
          <w:rFonts w:hint="eastAsia" w:ascii="黑体" w:hAnsi="黑体" w:eastAsia="黑体"/>
          <w:sz w:val="32"/>
          <w:szCs w:val="32"/>
        </w:rPr>
        <w:t>第一部分 部门单位概况</w:t>
      </w:r>
      <w:bookmarkEnd w:id="0"/>
      <w:bookmarkEnd w:id="1"/>
    </w:p>
    <w:p>
      <w:pPr>
        <w:ind w:firstLine="640" w:firstLineChars="200"/>
        <w:outlineLvl w:val="1"/>
        <w:rPr>
          <w:rFonts w:ascii="黑体" w:hAnsi="黑体" w:eastAsia="黑体" w:cs="宋体"/>
          <w:bCs/>
          <w:kern w:val="0"/>
          <w:sz w:val="32"/>
          <w:szCs w:val="32"/>
        </w:rPr>
      </w:pPr>
      <w:bookmarkStart w:id="2" w:name="_Toc30738"/>
      <w:bookmarkStart w:id="3" w:name="_Toc30567"/>
      <w:r>
        <w:rPr>
          <w:rFonts w:hint="eastAsia" w:ascii="黑体" w:hAnsi="黑体" w:eastAsia="黑体" w:cs="宋体"/>
          <w:bCs/>
          <w:kern w:val="0"/>
          <w:sz w:val="32"/>
          <w:szCs w:val="32"/>
        </w:rPr>
        <w:t>一、主要职能</w:t>
      </w:r>
      <w:bookmarkEnd w:id="2"/>
      <w:bookmarkEnd w:id="3"/>
    </w:p>
    <w:p>
      <w:pPr>
        <w:ind w:firstLine="640" w:firstLineChars="200"/>
        <w:outlineLvl w:val="1"/>
        <w:rPr>
          <w:rFonts w:hint="eastAsia" w:ascii="仿宋_GB2312" w:hAnsi="仿宋_GB2312" w:eastAsia="仿宋_GB2312" w:cs="仿宋_GB2312"/>
          <w:b w:val="0"/>
          <w:sz w:val="32"/>
        </w:rPr>
      </w:pPr>
      <w:bookmarkStart w:id="4" w:name="_Toc31238"/>
      <w:bookmarkStart w:id="5" w:name="_Toc2151"/>
      <w:r>
        <w:rPr>
          <w:rFonts w:hint="eastAsia" w:ascii="仿宋_GB2312" w:hAnsi="仿宋_GB2312" w:eastAsia="仿宋_GB2312" w:cs="仿宋_GB2312"/>
          <w:b w:val="0"/>
          <w:sz w:val="32"/>
        </w:rPr>
        <w:t>1、创作演出秀《民族歌舞》剧目；</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2、舞台艺术创作，传统艺术整理加工与保护；</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3、艺术音像作品演出，艺术团研究与评论；</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4、艺术普及推广，艺术创作表演人才培养；</w:t>
      </w:r>
    </w:p>
    <w:p>
      <w:pPr>
        <w:ind w:firstLine="640" w:firstLineChars="200"/>
        <w:outlineLvl w:val="1"/>
        <w:rPr>
          <w:rFonts w:hint="eastAsia" w:ascii="仿宋_GB2312" w:hAnsi="仿宋_GB2312" w:eastAsia="仿宋_GB2312" w:cs="仿宋_GB2312"/>
          <w:b w:val="0"/>
          <w:sz w:val="32"/>
        </w:rPr>
      </w:pPr>
      <w:r>
        <w:rPr>
          <w:rFonts w:hint="eastAsia" w:ascii="仿宋_GB2312" w:hAnsi="仿宋_GB2312" w:eastAsia="仿宋_GB2312" w:cs="仿宋_GB2312"/>
          <w:b w:val="0"/>
          <w:sz w:val="32"/>
        </w:rPr>
        <w:t>5、做好文化传播的载体，丰富全县人民文化生活；</w:t>
      </w:r>
    </w:p>
    <w:p>
      <w:pPr>
        <w:ind w:firstLine="640" w:firstLineChars="200"/>
        <w:outlineLvl w:val="1"/>
        <w:rPr>
          <w:rFonts w:hint="eastAsia" w:ascii="仿宋_GB2312" w:hAnsi="仿宋_GB2312" w:eastAsia="仿宋_GB2312" w:cs="仿宋_GB2312"/>
          <w:b w:val="0"/>
          <w:sz w:val="32"/>
          <w:lang w:eastAsia="zh-CN"/>
        </w:rPr>
      </w:pPr>
      <w:r>
        <w:rPr>
          <w:rFonts w:hint="eastAsia" w:ascii="仿宋_GB2312" w:hAnsi="仿宋_GB2312" w:eastAsia="仿宋_GB2312" w:cs="仿宋_GB2312"/>
          <w:b w:val="0"/>
          <w:sz w:val="32"/>
        </w:rPr>
        <w:t>6、</w:t>
      </w:r>
      <w:bookmarkStart w:id="54" w:name="_GoBack"/>
      <w:r>
        <w:rPr>
          <w:rFonts w:hint="eastAsia" w:ascii="仿宋_GB2312" w:hAnsi="仿宋_GB2312" w:eastAsia="仿宋_GB2312" w:cs="仿宋_GB2312"/>
          <w:b w:val="0"/>
          <w:sz w:val="32"/>
        </w:rPr>
        <w:t>适应新时期文化发</w:t>
      </w:r>
      <w:r>
        <w:rPr>
          <w:rFonts w:hint="eastAsia" w:ascii="仿宋_GB2312" w:hAnsi="仿宋_GB2312" w:eastAsia="仿宋_GB2312" w:cs="仿宋_GB2312"/>
          <w:b w:val="0"/>
          <w:sz w:val="32"/>
          <w:lang w:val="en-US" w:eastAsia="zh-CN"/>
        </w:rPr>
        <w:t>展</w:t>
      </w:r>
      <w:r>
        <w:rPr>
          <w:rFonts w:hint="eastAsia" w:ascii="仿宋_GB2312" w:hAnsi="仿宋_GB2312" w:eastAsia="仿宋_GB2312" w:cs="仿宋_GB2312"/>
          <w:b w:val="0"/>
          <w:sz w:val="32"/>
        </w:rPr>
        <w:t>的需要，提升刀郎艺术团的专业水平和质量，加大对外文化艺术交流</w:t>
      </w:r>
      <w:r>
        <w:rPr>
          <w:rFonts w:hint="eastAsia" w:ascii="仿宋_GB2312" w:hAnsi="仿宋_GB2312" w:eastAsia="仿宋_GB2312" w:cs="仿宋_GB2312"/>
          <w:b w:val="0"/>
          <w:sz w:val="32"/>
          <w:lang w:eastAsia="zh-CN"/>
        </w:rPr>
        <w:t>，</w:t>
      </w:r>
      <w:r>
        <w:rPr>
          <w:rFonts w:hint="eastAsia" w:ascii="仿宋_GB2312" w:hAnsi="仿宋_GB2312" w:eastAsia="仿宋_GB2312" w:cs="仿宋_GB2312"/>
          <w:b w:val="0"/>
          <w:sz w:val="32"/>
        </w:rPr>
        <w:t>进一步提高麦盖提县的知名度</w:t>
      </w:r>
      <w:r>
        <w:rPr>
          <w:rFonts w:hint="eastAsia" w:ascii="仿宋_GB2312" w:hAnsi="仿宋_GB2312" w:eastAsia="仿宋_GB2312" w:cs="仿宋_GB2312"/>
          <w:b w:val="0"/>
          <w:sz w:val="32"/>
          <w:lang w:eastAsia="zh-CN"/>
        </w:rPr>
        <w:t>；</w:t>
      </w:r>
    </w:p>
    <w:bookmarkEnd w:id="54"/>
    <w:p>
      <w:pPr>
        <w:ind w:firstLine="640" w:firstLineChars="200"/>
        <w:outlineLvl w:val="1"/>
        <w:rPr>
          <w:rFonts w:hint="eastAsia" w:ascii="仿宋_GB2312" w:hAnsi="仿宋_GB2312" w:eastAsia="仿宋_GB2312" w:cs="仿宋_GB2312"/>
          <w:b w:val="0"/>
          <w:sz w:val="32"/>
          <w:lang w:eastAsia="zh-CN"/>
        </w:rPr>
      </w:pPr>
      <w:r>
        <w:rPr>
          <w:rFonts w:hint="eastAsia" w:ascii="仿宋_GB2312" w:hAnsi="仿宋_GB2312" w:eastAsia="仿宋_GB2312" w:cs="仿宋_GB2312"/>
          <w:b w:val="0"/>
          <w:sz w:val="32"/>
        </w:rPr>
        <w:t>7、秉承群众性、专业性的整体发展方向，充分挖掘我县人文资源，突出艺术团的特色，使艺术团既有历史的经典和厚重，又具有时代的精神和活力</w:t>
      </w:r>
      <w:r>
        <w:rPr>
          <w:rFonts w:hint="eastAsia" w:ascii="仿宋_GB2312" w:hAnsi="仿宋_GB2312" w:eastAsia="仿宋_GB2312" w:cs="仿宋_GB2312"/>
          <w:b w:val="0"/>
          <w:sz w:val="32"/>
          <w:lang w:eastAsia="zh-CN"/>
        </w:rPr>
        <w:t>；</w:t>
      </w:r>
    </w:p>
    <w:p>
      <w:pPr>
        <w:ind w:firstLine="640" w:firstLineChars="200"/>
        <w:outlineLvl w:val="1"/>
        <w:rPr>
          <w:rFonts w:hint="eastAsia" w:ascii="仿宋_GB2312" w:hAnsi="仿宋_GB2312" w:eastAsia="仿宋_GB2312" w:cs="仿宋_GB2312"/>
          <w:b w:val="0"/>
          <w:sz w:val="32"/>
          <w:lang w:eastAsia="zh-CN"/>
        </w:rPr>
      </w:pPr>
      <w:r>
        <w:rPr>
          <w:rFonts w:hint="eastAsia" w:ascii="仿宋_GB2312" w:hAnsi="仿宋_GB2312" w:eastAsia="仿宋_GB2312" w:cs="仿宋_GB2312"/>
          <w:b w:val="0"/>
          <w:sz w:val="32"/>
        </w:rPr>
        <w:t>8、承办县委、政府交办的其他事项</w:t>
      </w:r>
      <w:r>
        <w:rPr>
          <w:rFonts w:hint="eastAsia" w:ascii="仿宋_GB2312" w:hAnsi="仿宋_GB2312" w:eastAsia="仿宋_GB2312" w:cs="仿宋_GB2312"/>
          <w:b w:val="0"/>
          <w:sz w:val="32"/>
          <w:lang w:eastAsia="zh-CN"/>
        </w:rPr>
        <w:t>。</w:t>
      </w:r>
    </w:p>
    <w:p>
      <w:pPr>
        <w:ind w:firstLine="640" w:firstLineChars="200"/>
        <w:outlineLvl w:val="1"/>
        <w:rPr>
          <w:rFonts w:ascii="黑体" w:hAnsi="黑体" w:eastAsia="黑体" w:cs="宋体"/>
          <w:bCs/>
          <w:kern w:val="0"/>
          <w:sz w:val="32"/>
          <w:szCs w:val="32"/>
        </w:rPr>
      </w:pPr>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pPr>
        <w:ind w:firstLine="640" w:firstLineChars="200"/>
      </w:pPr>
      <w:r>
        <w:rPr>
          <w:rFonts w:ascii="仿宋_GB2312" w:hAnsi="仿宋_GB2312" w:eastAsia="仿宋_GB2312" w:cs="仿宋_GB2312"/>
          <w:sz w:val="32"/>
        </w:rPr>
        <w:t>新疆喀什地区麦盖提县刀郎艺术团2019年度，实有人数21人，其中：在职人员17人，离休人员0人，退休人员4人。</w:t>
      </w:r>
    </w:p>
    <w:p>
      <w:pPr>
        <w:ind w:firstLine="640" w:firstLineChars="200"/>
        <w:rPr>
          <w:rFonts w:ascii="仿宋_GB2312" w:eastAsia="仿宋_GB2312"/>
          <w:sz w:val="32"/>
          <w:szCs w:val="32"/>
        </w:rPr>
      </w:pPr>
      <w:r>
        <w:rPr>
          <w:rFonts w:ascii="仿宋_GB2312" w:hAnsi="仿宋_GB2312" w:eastAsia="仿宋_GB2312" w:cs="仿宋_GB2312"/>
          <w:sz w:val="32"/>
        </w:rPr>
        <w:t>从部门决算单位构成看，新疆喀什地区麦盖提县刀郎艺术团部门决算包括：新疆喀什地区麦盖提县刀郎艺术团决算。</w:t>
      </w:r>
    </w:p>
    <w:p>
      <w:pPr>
        <w:ind w:firstLine="640" w:firstLineChars="200"/>
        <w:jc w:val="center"/>
        <w:outlineLvl w:val="0"/>
        <w:rPr>
          <w:rFonts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pPr>
        <w:ind w:firstLine="640" w:firstLineChars="200"/>
        <w:outlineLvl w:val="1"/>
        <w:rPr>
          <w:rFonts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pPr>
        <w:ind w:firstLine="640" w:firstLineChars="200"/>
        <w:rPr>
          <w:rFonts w:ascii="仿宋_GB2312" w:eastAsia="仿宋_GB2312"/>
          <w:sz w:val="32"/>
          <w:szCs w:val="32"/>
        </w:rPr>
      </w:pPr>
      <w:r>
        <w:rPr>
          <w:rFonts w:ascii="仿宋_GB2312" w:hAnsi="仿宋_GB2312" w:eastAsia="仿宋_GB2312" w:cs="仿宋_GB2312"/>
          <w:sz w:val="32"/>
        </w:rPr>
        <w:t>2019年度本年收入880.73万元，与上年相比，增加260.66万元，增长42.04%，主要原因是：补发县聘人员养老保险。本年支出880.73万元，与上年相比，增加272.66万元，增长44.84%，主要原因是：补发县聘人员养老保险。</w:t>
      </w:r>
    </w:p>
    <w:p>
      <w:pPr>
        <w:ind w:firstLine="640" w:firstLineChars="200"/>
        <w:outlineLvl w:val="1"/>
        <w:rPr>
          <w:rFonts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pPr>
        <w:ind w:firstLine="640" w:firstLineChars="200"/>
        <w:rPr>
          <w:rFonts w:ascii="仿宋_GB2312" w:eastAsia="仿宋_GB2312"/>
          <w:sz w:val="32"/>
          <w:szCs w:val="32"/>
        </w:rPr>
      </w:pPr>
      <w:r>
        <w:rPr>
          <w:rFonts w:ascii="仿宋_GB2312" w:hAnsi="仿宋_GB2312" w:eastAsia="仿宋_GB2312" w:cs="仿宋_GB2312"/>
          <w:sz w:val="32"/>
        </w:rPr>
        <w:t>2019年度本年收入880.73万元，其中：财政拨款收入880.73万元，占100%；上级补助收入0万元，占0%；事业收入0万元，占0%；经营收入0万元，占0%；附属单位上缴收入0万元，占0%；其他收入0万元，占0%。</w:t>
      </w:r>
    </w:p>
    <w:p>
      <w:pPr>
        <w:ind w:firstLine="640" w:firstLineChars="200"/>
        <w:outlineLvl w:val="1"/>
        <w:rPr>
          <w:rFonts w:ascii="黑体" w:hAnsi="黑体" w:eastAsia="黑体" w:cs="宋体"/>
          <w:bCs/>
          <w:kern w:val="0"/>
          <w:sz w:val="32"/>
          <w:szCs w:val="32"/>
        </w:rPr>
      </w:pPr>
      <w:bookmarkStart w:id="12" w:name="_Toc13201"/>
      <w:bookmarkStart w:id="13" w:name="_Toc27961"/>
      <w:r>
        <w:rPr>
          <w:rFonts w:hint="eastAsia" w:ascii="黑体" w:hAnsi="黑体" w:eastAsia="黑体" w:cs="宋体"/>
          <w:bCs/>
          <w:kern w:val="0"/>
          <w:sz w:val="32"/>
          <w:szCs w:val="32"/>
        </w:rPr>
        <w:t>三、支出决算情况说明</w:t>
      </w:r>
      <w:bookmarkEnd w:id="12"/>
      <w:bookmarkEnd w:id="13"/>
    </w:p>
    <w:p>
      <w:pPr>
        <w:ind w:firstLine="640" w:firstLineChars="200"/>
        <w:rPr>
          <w:rFonts w:ascii="仿宋_GB2312" w:eastAsia="仿宋_GB2312"/>
          <w:sz w:val="32"/>
          <w:szCs w:val="32"/>
        </w:rPr>
      </w:pPr>
      <w:r>
        <w:rPr>
          <w:rFonts w:ascii="仿宋_GB2312" w:hAnsi="仿宋_GB2312" w:eastAsia="仿宋_GB2312" w:cs="仿宋_GB2312"/>
          <w:sz w:val="32"/>
        </w:rPr>
        <w:t>2019年度本年支出880.73万元，其中：基本支出872.53万元，占99.07%；项目支出8.20万元，占0.93%；上缴上级支出0万元，占0%；经营支出0万元，占0%；对附属单位补助支出0万元，占0%。</w:t>
      </w:r>
    </w:p>
    <w:p>
      <w:pPr>
        <w:ind w:firstLine="640" w:firstLineChars="200"/>
        <w:outlineLvl w:val="1"/>
        <w:rPr>
          <w:rFonts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pPr>
        <w:ind w:firstLine="640" w:firstLineChars="200"/>
        <w:rPr>
          <w:rFonts w:ascii="仿宋_GB2312" w:eastAsia="仿宋_GB2312"/>
          <w:sz w:val="32"/>
          <w:szCs w:val="32"/>
        </w:rPr>
      </w:pPr>
      <w:r>
        <w:rPr>
          <w:rFonts w:ascii="仿宋_GB2312" w:hAnsi="仿宋_GB2312" w:eastAsia="仿宋_GB2312" w:cs="仿宋_GB2312"/>
          <w:sz w:val="32"/>
        </w:rPr>
        <w:t>2019年度财政拨款收入880.73万元，与上年相比，增加260.66万元，增长42.04%，主要原因是：补发县聘人员养老保险。财政拨款支出880.73万元，与上年相比，增加272.66万元，增长44.84%，主要原因是：补发县聘人员养老保险。</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财政拨款收入年初预算数787.14万元，决算数880.73万元，预决算差异率11.89%，主要原因是：年中追加资金补发县聘人员养老保险，因此决算数大于预算数。财政拨款支出年初预算数787.14万元，决算数880.73万元，预决算差异率11.89%，主要原因是：年中追加资金补发县聘人员养老保险，因此决算数大于预算数。</w:t>
      </w:r>
    </w:p>
    <w:p>
      <w:pPr>
        <w:ind w:firstLine="640" w:firstLineChars="200"/>
        <w:outlineLvl w:val="1"/>
        <w:rPr>
          <w:rFonts w:ascii="黑体" w:hAnsi="黑体" w:eastAsia="黑体" w:cs="宋体"/>
          <w:bCs/>
          <w:kern w:val="0"/>
          <w:sz w:val="32"/>
          <w:szCs w:val="32"/>
        </w:rPr>
      </w:pPr>
      <w:bookmarkStart w:id="16" w:name="_Toc13833"/>
      <w:bookmarkStart w:id="17" w:name="_Toc20360"/>
      <w:r>
        <w:rPr>
          <w:rFonts w:hint="eastAsia" w:ascii="黑体" w:hAnsi="黑体" w:eastAsia="黑体" w:cs="宋体"/>
          <w:bCs/>
          <w:kern w:val="0"/>
          <w:sz w:val="32"/>
          <w:szCs w:val="32"/>
        </w:rPr>
        <w:t>五、一般公共预算财政拨款支出决算情况说明</w:t>
      </w:r>
      <w:bookmarkEnd w:id="16"/>
      <w:bookmarkEnd w:id="17"/>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2019年度一般公共预算财政拨款支出880.73万元。按功能分类科目项级科目公开，其中：</w:t>
      </w:r>
    </w:p>
    <w:p>
      <w:pPr>
        <w:ind w:firstLine="480"/>
        <w:jc w:val="both"/>
      </w:pPr>
      <w:r>
        <w:rPr>
          <w:rFonts w:ascii="仿宋_GB2312" w:hAnsi="仿宋_GB2312" w:eastAsia="仿宋_GB2312" w:cs="仿宋_GB2312"/>
          <w:b w:val="0"/>
          <w:sz w:val="32"/>
        </w:rPr>
        <w:t xml:space="preserve">   2070107艺术表演团体支出626.04万元；</w:t>
      </w:r>
    </w:p>
    <w:p>
      <w:pPr>
        <w:ind w:firstLine="480"/>
        <w:jc w:val="both"/>
      </w:pPr>
      <w:r>
        <w:rPr>
          <w:rFonts w:ascii="仿宋_GB2312" w:hAnsi="仿宋_GB2312" w:eastAsia="仿宋_GB2312" w:cs="仿宋_GB2312"/>
          <w:b w:val="0"/>
          <w:sz w:val="32"/>
        </w:rPr>
        <w:t xml:space="preserve">   2079999其他文化体育与传媒支出8.20万元；</w:t>
      </w:r>
    </w:p>
    <w:p>
      <w:pPr>
        <w:ind w:firstLine="480"/>
        <w:jc w:val="both"/>
      </w:pPr>
      <w:r>
        <w:rPr>
          <w:rFonts w:ascii="仿宋_GB2312" w:hAnsi="仿宋_GB2312" w:eastAsia="仿宋_GB2312" w:cs="仿宋_GB2312"/>
          <w:b w:val="0"/>
          <w:sz w:val="32"/>
        </w:rPr>
        <w:t xml:space="preserve">   2080505机关事业单位基本养老保险缴费支出226.41万元；</w:t>
      </w:r>
    </w:p>
    <w:p>
      <w:pPr>
        <w:ind w:firstLine="480"/>
        <w:jc w:val="both"/>
      </w:pPr>
      <w:r>
        <w:rPr>
          <w:rFonts w:ascii="仿宋_GB2312" w:hAnsi="仿宋_GB2312" w:eastAsia="仿宋_GB2312" w:cs="仿宋_GB2312"/>
          <w:b w:val="0"/>
          <w:sz w:val="32"/>
        </w:rPr>
        <w:t xml:space="preserve">   2210201住房公积金支出20.08万元。</w:t>
      </w:r>
    </w:p>
    <w:p>
      <w:pPr>
        <w:ind w:firstLine="640" w:firstLineChars="200"/>
        <w:outlineLvl w:val="1"/>
        <w:rPr>
          <w:rFonts w:ascii="黑体" w:hAnsi="黑体" w:eastAsia="黑体" w:cs="宋体"/>
          <w:bCs/>
          <w:kern w:val="0"/>
          <w:sz w:val="32"/>
          <w:szCs w:val="32"/>
        </w:rPr>
      </w:pPr>
      <w:bookmarkStart w:id="18" w:name="_Toc30870"/>
      <w:bookmarkStart w:id="19" w:name="_Toc11146"/>
      <w:r>
        <w:rPr>
          <w:rFonts w:hint="eastAsia" w:ascii="黑体" w:hAnsi="黑体" w:eastAsia="黑体" w:cs="宋体"/>
          <w:bCs/>
          <w:kern w:val="0"/>
          <w:sz w:val="32"/>
          <w:szCs w:val="32"/>
        </w:rPr>
        <w:t>六、一般公共预算财政拨款基本支出决算情况说明</w:t>
      </w:r>
      <w:bookmarkEnd w:id="18"/>
      <w:bookmarkEnd w:id="19"/>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2019年度一般公共预算财政拨款基本支出872.53万元，其中：</w:t>
      </w:r>
    </w:p>
    <w:p>
      <w:pPr>
        <w:ind w:firstLine="640" w:firstLineChars="200"/>
        <w:rPr>
          <w:rFonts w:ascii="仿宋_GB2312" w:eastAsia="仿宋_GB2312"/>
          <w:sz w:val="32"/>
          <w:szCs w:val="32"/>
        </w:rPr>
      </w:pPr>
      <w:r>
        <w:rPr>
          <w:rFonts w:ascii="仿宋_GB2312" w:hAnsi="仿宋_GB2312" w:eastAsia="仿宋_GB2312" w:cs="仿宋_GB2312"/>
          <w:sz w:val="32"/>
        </w:rPr>
        <w:t>人员经费861.47万元，包括：基本工资、津贴补贴、奖金、绩效工资、机关事业单位基本养老保险缴费、其他社会保障缴费、住房公积金。</w:t>
      </w:r>
    </w:p>
    <w:p>
      <w:pPr>
        <w:ind w:firstLine="640" w:firstLineChars="200"/>
        <w:rPr>
          <w:rFonts w:ascii="仿宋_GB2312" w:eastAsia="仿宋_GB2312"/>
          <w:sz w:val="32"/>
          <w:szCs w:val="32"/>
        </w:rPr>
      </w:pPr>
      <w:r>
        <w:rPr>
          <w:rFonts w:ascii="仿宋_GB2312" w:hAnsi="仿宋_GB2312" w:eastAsia="仿宋_GB2312" w:cs="仿宋_GB2312"/>
          <w:sz w:val="32"/>
        </w:rPr>
        <w:t>公用经费11.07万元，包括：水费、电费、维修（护）费。</w:t>
      </w:r>
    </w:p>
    <w:p>
      <w:pPr>
        <w:ind w:firstLine="640" w:firstLineChars="200"/>
        <w:outlineLvl w:val="1"/>
        <w:rPr>
          <w:rFonts w:ascii="黑体" w:hAnsi="黑体" w:eastAsia="黑体" w:cs="宋体"/>
          <w:bCs/>
          <w:kern w:val="0"/>
          <w:sz w:val="32"/>
          <w:szCs w:val="32"/>
        </w:rPr>
      </w:pPr>
      <w:bookmarkStart w:id="20" w:name="_Toc21518"/>
      <w:bookmarkStart w:id="21" w:name="_Toc7190"/>
      <w:r>
        <w:rPr>
          <w:rFonts w:hint="eastAsia" w:ascii="黑体" w:hAnsi="黑体" w:eastAsia="黑体" w:cs="宋体"/>
          <w:bCs/>
          <w:kern w:val="0"/>
          <w:sz w:val="32"/>
          <w:szCs w:val="32"/>
        </w:rPr>
        <w:t>七、一般公共预算财政拨款“三公”经费支出决算情况说明</w:t>
      </w:r>
      <w:bookmarkEnd w:id="20"/>
      <w:bookmarkEnd w:id="21"/>
    </w:p>
    <w:p>
      <w:pPr>
        <w:ind w:firstLine="640" w:firstLineChars="200"/>
        <w:rPr>
          <w:rFonts w:ascii="仿宋_GB2312" w:eastAsia="仿宋_GB2312"/>
          <w:sz w:val="32"/>
          <w:szCs w:val="32"/>
        </w:rPr>
      </w:pPr>
      <w:r>
        <w:rPr>
          <w:rFonts w:ascii="仿宋_GB2312" w:hAnsi="仿宋_GB2312" w:eastAsia="仿宋_GB2312" w:cs="仿宋_GB2312"/>
          <w:sz w:val="32"/>
        </w:rPr>
        <w:t>2019年度一般公共预算“三公”经费支出决算0万元，比上年增加0万元，增长0%，主要原因是与上年相比无变动，与上年一致。其中，因公出国（境）费支出0万元，占0%，比上年增加0万元，增长0%，主要原因是与上年相比无变动，与上年一致；公务用车购置及运行维护费支出0万元，占0%，比上年增加0万元，增长0%，主要原因是与上年相比无变动，与上年一致；公务接待费支出0万元，占0%，比上年增加0万元，增长0%，主要原因是与上年相比无变动，与上年一致。具体情况如下：</w:t>
      </w:r>
    </w:p>
    <w:p>
      <w:pPr>
        <w:ind w:firstLine="640" w:firstLineChars="200"/>
        <w:rPr>
          <w:rFonts w:ascii="仿宋_GB2312" w:eastAsia="仿宋_GB2312"/>
          <w:sz w:val="32"/>
          <w:szCs w:val="32"/>
        </w:rPr>
      </w:pPr>
      <w:r>
        <w:rPr>
          <w:rFonts w:ascii="仿宋_GB2312" w:hAnsi="仿宋_GB2312" w:eastAsia="仿宋_GB2312" w:cs="仿宋_GB2312"/>
          <w:sz w:val="32"/>
        </w:rPr>
        <w:t>因公出国（境）费支出0万元，开支内容包括：预算未安排，无此项支出。单位全年安排的因公出国（境）团组0个，因公出国（境）0人次。</w:t>
      </w:r>
    </w:p>
    <w:p>
      <w:pPr>
        <w:ind w:firstLine="640" w:firstLineChars="200"/>
        <w:rPr>
          <w:rFonts w:ascii="仿宋_GB2312" w:eastAsia="仿宋_GB2312"/>
          <w:sz w:val="32"/>
          <w:szCs w:val="32"/>
        </w:rPr>
      </w:pPr>
      <w:r>
        <w:rPr>
          <w:rFonts w:ascii="仿宋_GB2312" w:hAnsi="仿宋_GB2312" w:eastAsia="仿宋_GB2312" w:cs="仿宋_GB2312"/>
          <w:sz w:val="32"/>
        </w:rPr>
        <w:t>公务用车购置及运行维护费0万元，其中，公务用车购置费0万元，公务用车运行维护费0万元。公务用车运行维护费开支内容包括预算未安排，无此项支出。公务用车购置数0辆，公务用车保有量0辆。</w:t>
      </w:r>
    </w:p>
    <w:p>
      <w:pPr>
        <w:ind w:firstLine="640" w:firstLineChars="200"/>
        <w:rPr>
          <w:rFonts w:ascii="仿宋_GB2312" w:eastAsia="仿宋_GB2312"/>
          <w:sz w:val="32"/>
          <w:szCs w:val="32"/>
        </w:rPr>
      </w:pPr>
      <w:r>
        <w:rPr>
          <w:rFonts w:ascii="仿宋_GB2312" w:hAnsi="仿宋_GB2312" w:eastAsia="仿宋_GB2312" w:cs="仿宋_GB2312"/>
          <w:sz w:val="32"/>
        </w:rPr>
        <w:t>公务接待费0万元，开支内容包括预算未安排，无此项支出。单位全年安排的国内公务接待0批次，0人次。</w:t>
      </w:r>
    </w:p>
    <w:p>
      <w:pPr>
        <w:ind w:firstLine="640" w:firstLineChars="200"/>
        <w:rPr>
          <w:rFonts w:ascii="仿宋_GB2312" w:eastAsia="仿宋_GB2312"/>
          <w:sz w:val="32"/>
          <w:szCs w:val="32"/>
        </w:rPr>
      </w:pPr>
      <w:r>
        <w:rPr>
          <w:rFonts w:ascii="仿宋_GB2312" w:hAnsi="仿宋_GB2312" w:eastAsia="仿宋_GB2312" w:cs="仿宋_GB2312"/>
          <w:sz w:val="32"/>
        </w:rPr>
        <w:t>与年初预算数相比情况：一般公共预算“三公”经费支出年初预算数0万元，决算数0万元，预决算差异率0%，主要原因是：预算未安排，也无此项支出，因此预决算无差异。其中：因公出国（境）费预算数0万元，决算数0万元，预决算差异率0%，主要原因是：预算未安排，也无此项支出，因此预决算无差异；公务用车购置费预算数0万元，决算数0万元，预决算差异率0%，主要原因是：预算未安排，也无此项支出，因此预决算无差异；公务用车运行费预算数0万元，决算数0万元，预决算差异率0%，主要原因是：预算未安排，也无此项支出，因此预决算无差异；公务接待费预算数0万元，决算数0万元，预决算差异率0%，主要原因是：预算未安排，也无此项支出，因此预决算无差异。</w:t>
      </w:r>
    </w:p>
    <w:p>
      <w:pPr>
        <w:ind w:firstLine="640" w:firstLineChars="200"/>
        <w:outlineLvl w:val="1"/>
        <w:rPr>
          <w:rFonts w:ascii="黑体" w:hAnsi="黑体" w:eastAsia="黑体" w:cs="宋体"/>
          <w:bCs/>
          <w:kern w:val="0"/>
          <w:sz w:val="32"/>
          <w:szCs w:val="32"/>
        </w:rPr>
      </w:pPr>
      <w:bookmarkStart w:id="22" w:name="_Toc7927"/>
      <w:bookmarkStart w:id="23" w:name="_Toc5810"/>
      <w:r>
        <w:rPr>
          <w:rFonts w:hint="eastAsia" w:ascii="黑体" w:hAnsi="黑体" w:eastAsia="黑体" w:cs="宋体"/>
          <w:bCs/>
          <w:kern w:val="0"/>
          <w:sz w:val="32"/>
          <w:szCs w:val="32"/>
        </w:rPr>
        <w:t>八、政府性基金预算收入支出决算情况说明</w:t>
      </w:r>
      <w:bookmarkEnd w:id="22"/>
      <w:bookmarkEnd w:id="23"/>
    </w:p>
    <w:p>
      <w:pPr>
        <w:ind w:firstLine="640" w:firstLineChars="200"/>
        <w:rPr>
          <w:rFonts w:ascii="仿宋_GB2312" w:eastAsia="仿宋_GB2312"/>
          <w:color w:val="000000" w:themeColor="text1"/>
          <w:sz w:val="32"/>
          <w:szCs w:val="32"/>
          <w14:textFill>
            <w14:solidFill>
              <w14:schemeClr w14:val="tx1"/>
            </w14:solidFill>
          </w14:textFill>
        </w:rPr>
      </w:pPr>
      <w:r>
        <w:rPr>
          <w:rFonts w:ascii="仿宋_GB2312" w:hAnsi="仿宋_GB2312" w:eastAsia="仿宋_GB2312" w:cs="仿宋_GB2312"/>
          <w:sz w:val="32"/>
        </w:rPr>
        <w:t>我单位本年度无政府性基金预算财政拨款收入支出，政府性基金预算财政拨款收入支出决算表为空表。</w:t>
      </w:r>
    </w:p>
    <w:p>
      <w:pPr>
        <w:ind w:firstLine="640" w:firstLineChars="200"/>
        <w:outlineLvl w:val="1"/>
        <w:rPr>
          <w:rFonts w:ascii="黑体" w:hAnsi="黑体" w:eastAsia="黑体" w:cs="宋体"/>
          <w:bCs/>
          <w:kern w:val="0"/>
          <w:sz w:val="32"/>
          <w:szCs w:val="32"/>
        </w:rPr>
      </w:pPr>
      <w:bookmarkStart w:id="24" w:name="_Toc1235"/>
      <w:bookmarkStart w:id="25" w:name="_Toc7314"/>
      <w:r>
        <w:rPr>
          <w:rFonts w:hint="eastAsia" w:ascii="黑体" w:hAnsi="黑体" w:eastAsia="黑体" w:cs="宋体"/>
          <w:bCs/>
          <w:kern w:val="0"/>
          <w:sz w:val="32"/>
          <w:szCs w:val="32"/>
        </w:rPr>
        <w:t>九、其他重要事项的情况说明</w:t>
      </w:r>
      <w:bookmarkEnd w:id="24"/>
      <w:bookmarkEnd w:id="25"/>
    </w:p>
    <w:p>
      <w:pPr>
        <w:ind w:firstLine="640" w:firstLineChars="200"/>
        <w:outlineLvl w:val="2"/>
        <w:rPr>
          <w:rFonts w:ascii="黑体" w:hAnsi="黑体" w:eastAsia="黑体"/>
          <w:sz w:val="32"/>
          <w:szCs w:val="32"/>
        </w:rPr>
      </w:pPr>
      <w:bookmarkStart w:id="26" w:name="_Toc13105"/>
      <w:bookmarkStart w:id="27" w:name="_Toc14519"/>
      <w:r>
        <w:rPr>
          <w:rFonts w:hint="eastAsia" w:ascii="黑体" w:hAnsi="黑体" w:eastAsia="黑体"/>
          <w:sz w:val="32"/>
          <w:szCs w:val="32"/>
        </w:rPr>
        <w:t>（一）机关运行经费支出情况</w:t>
      </w:r>
      <w:bookmarkEnd w:id="26"/>
      <w:bookmarkEnd w:id="27"/>
    </w:p>
    <w:p>
      <w:pPr>
        <w:ind w:firstLine="640" w:firstLineChars="200"/>
        <w:rPr>
          <w:rFonts w:ascii="仿宋_GB2312" w:eastAsia="仿宋_GB2312"/>
          <w:sz w:val="32"/>
          <w:szCs w:val="32"/>
        </w:rPr>
      </w:pPr>
      <w:r>
        <w:rPr>
          <w:rFonts w:ascii="仿宋_GB2312" w:hAnsi="仿宋_GB2312" w:eastAsia="仿宋_GB2312" w:cs="仿宋_GB2312"/>
          <w:sz w:val="32"/>
        </w:rPr>
        <w:t>新疆喀什地区麦盖提县刀郎艺术团日常公用经费11.07万元，比上年增加4.25万元，增长62.32%，主要原因是下乡演出，培训舞蹈演员、制作乐曲、编排舞蹈等业务工作较去年增加，相应日常公用开支较去年增加。</w:t>
      </w:r>
    </w:p>
    <w:p>
      <w:pPr>
        <w:ind w:firstLine="640" w:firstLineChars="200"/>
        <w:outlineLvl w:val="2"/>
        <w:rPr>
          <w:rFonts w:ascii="黑体" w:hAnsi="黑体" w:eastAsia="黑体"/>
          <w:sz w:val="32"/>
          <w:szCs w:val="32"/>
        </w:rPr>
      </w:pPr>
      <w:bookmarkStart w:id="28" w:name="_Toc26704"/>
      <w:bookmarkStart w:id="29" w:name="_Toc227"/>
      <w:r>
        <w:rPr>
          <w:rFonts w:hint="eastAsia" w:ascii="黑体" w:hAnsi="黑体" w:eastAsia="黑体"/>
          <w:sz w:val="32"/>
          <w:szCs w:val="32"/>
        </w:rPr>
        <w:t>（二）政府采购情况</w:t>
      </w:r>
      <w:bookmarkEnd w:id="28"/>
      <w:bookmarkEnd w:id="29"/>
    </w:p>
    <w:p>
      <w:pPr>
        <w:ind w:firstLine="640" w:firstLineChars="200"/>
        <w:rPr>
          <w:rFonts w:ascii="仿宋_GB2312" w:eastAsia="仿宋_GB2312"/>
          <w:sz w:val="32"/>
          <w:szCs w:val="32"/>
        </w:rPr>
      </w:pPr>
      <w:r>
        <w:rPr>
          <w:rFonts w:ascii="仿宋_GB2312" w:hAnsi="仿宋_GB2312" w:eastAsia="仿宋_GB2312" w:cs="仿宋_GB2312"/>
          <w:sz w:val="32"/>
        </w:rPr>
        <w:t>2019年度政府采购支出总额0万元，其中：政府采购货物支出0万元、政府采购工程支出0万元、政府采购服务支出0万元。</w:t>
      </w:r>
    </w:p>
    <w:p>
      <w:pPr>
        <w:ind w:firstLine="640" w:firstLineChars="200"/>
        <w:rPr>
          <w:rFonts w:ascii="仿宋_GB2312" w:eastAsia="仿宋_GB2312"/>
          <w:sz w:val="32"/>
          <w:szCs w:val="32"/>
        </w:rPr>
      </w:pPr>
      <w:r>
        <w:rPr>
          <w:rFonts w:ascii="仿宋_GB2312" w:hAnsi="仿宋_GB2312" w:eastAsia="仿宋_GB2312" w:cs="仿宋_GB2312"/>
          <w:sz w:val="32"/>
        </w:rPr>
        <w:t>授予中小企业合同金额0万元，占政府采购支出总额的0%，其中：授予小微企业合同金额0万元，占政府采购支出总额的0%。</w:t>
      </w:r>
    </w:p>
    <w:p>
      <w:pPr>
        <w:ind w:firstLine="640" w:firstLineChars="200"/>
        <w:outlineLvl w:val="2"/>
        <w:rPr>
          <w:rFonts w:ascii="黑体" w:hAnsi="黑体" w:eastAsia="黑体"/>
          <w:sz w:val="32"/>
          <w:szCs w:val="32"/>
        </w:rPr>
      </w:pPr>
      <w:bookmarkStart w:id="30" w:name="_Toc4591"/>
      <w:bookmarkStart w:id="31" w:name="_Toc8391"/>
      <w:r>
        <w:rPr>
          <w:rFonts w:hint="eastAsia" w:ascii="黑体" w:hAnsi="黑体" w:eastAsia="黑体"/>
          <w:sz w:val="32"/>
          <w:szCs w:val="32"/>
        </w:rPr>
        <w:t>（三）国有资产占用情况说明</w:t>
      </w:r>
      <w:bookmarkEnd w:id="30"/>
      <w:bookmarkEnd w:id="31"/>
    </w:p>
    <w:p>
      <w:pPr>
        <w:ind w:firstLine="640" w:firstLineChars="200"/>
        <w:rPr>
          <w:rFonts w:ascii="仿宋_GB2312" w:eastAsia="仿宋_GB2312"/>
          <w:sz w:val="32"/>
          <w:szCs w:val="32"/>
        </w:rPr>
      </w:pPr>
      <w:r>
        <w:rPr>
          <w:rFonts w:ascii="仿宋_GB2312" w:hAnsi="仿宋_GB2312" w:eastAsia="仿宋_GB2312" w:cs="仿宋_GB2312"/>
          <w:sz w:val="32"/>
        </w:rPr>
        <w:t>截止2019年12月31日，单位共有房屋220（平方米），价值8.92万元。车辆0辆，价值0万元，其中：副部（省）级及以上领导用车0辆、主要领导干部用车0辆、机要通信用车0辆、应急保障用车0辆、执法执勤用车0辆、特种专业技术用车0辆、离退休干部用车0辆、其他用车0辆，其他用车主要是：本单位无车辆；单位价值50万元以上通用设备0台（套）、单位价值100万元以上专用设备0台（套）。</w:t>
      </w:r>
    </w:p>
    <w:p>
      <w:pPr>
        <w:ind w:firstLine="640" w:firstLineChars="200"/>
        <w:outlineLvl w:val="1"/>
        <w:rPr>
          <w:rFonts w:ascii="黑体" w:hAnsi="黑体" w:eastAsia="黑体" w:cs="宋体"/>
          <w:bCs/>
          <w:kern w:val="0"/>
          <w:sz w:val="32"/>
          <w:szCs w:val="32"/>
        </w:rPr>
      </w:pPr>
      <w:bookmarkStart w:id="32" w:name="_Toc435"/>
      <w:bookmarkStart w:id="33" w:name="_Toc11283"/>
      <w:r>
        <w:rPr>
          <w:rFonts w:hint="eastAsia" w:ascii="黑体" w:hAnsi="黑体" w:eastAsia="黑体" w:cs="宋体"/>
          <w:bCs/>
          <w:kern w:val="0"/>
          <w:sz w:val="32"/>
          <w:szCs w:val="32"/>
        </w:rPr>
        <w:t>十、预算绩效的情况说明</w:t>
      </w:r>
      <w:bookmarkEnd w:id="32"/>
      <w:bookmarkEnd w:id="33"/>
    </w:p>
    <w:p>
      <w:pPr>
        <w:ind w:firstLine="640" w:firstLineChars="200"/>
        <w:rPr>
          <w:rFonts w:ascii="仿宋_GB2312" w:eastAsia="仿宋_GB2312"/>
          <w:sz w:val="32"/>
          <w:szCs w:val="32"/>
          <w:lang w:val="en-US"/>
        </w:rPr>
      </w:pPr>
      <w:r>
        <w:rPr>
          <w:rFonts w:hint="eastAsia" w:ascii="仿宋_GB2312" w:hAnsi="仿宋_GB2312" w:eastAsia="仿宋_GB2312" w:cs="仿宋_GB2312"/>
          <w:sz w:val="32"/>
          <w:lang w:val="en-US" w:eastAsia="zh-CN"/>
        </w:rPr>
        <w:t>根据预算绩效管理要求，我单位2019年度开展预算绩效评价项目0个，共涉及资金0万元。预算绩效管理取得的成效：无。发现的问题及原因：无。下一步改进措施：无。本单位无有关预算绩效管理和绩效自评开展情况。</w:t>
      </w:r>
    </w:p>
    <w:p>
      <w:pPr>
        <w:ind w:firstLine="640" w:firstLineChars="200"/>
        <w:jc w:val="center"/>
        <w:outlineLvl w:val="0"/>
        <w:rPr>
          <w:rFonts w:ascii="黑体" w:hAnsi="黑体" w:eastAsia="黑体"/>
          <w:sz w:val="32"/>
          <w:szCs w:val="32"/>
        </w:rPr>
      </w:pPr>
      <w:bookmarkStart w:id="34" w:name="_Toc24143"/>
      <w:bookmarkStart w:id="35" w:name="_Toc3250"/>
      <w:r>
        <w:rPr>
          <w:rFonts w:hint="eastAsia" w:ascii="黑体" w:hAnsi="黑体" w:eastAsia="黑体"/>
          <w:sz w:val="32"/>
          <w:szCs w:val="32"/>
        </w:rPr>
        <w:t>第三部分 专业名词解释</w:t>
      </w:r>
      <w:bookmarkEnd w:id="34"/>
      <w:bookmarkEnd w:id="35"/>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财政拨款收入：指同级财政当年拨付的资金。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上级补助收入：指事业单位从主管部门和上级单位取得的非财政补助收入。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事业收入：指事业单位开展专业业务活动及其辅助活动所取得的收入。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经营收入：指事业单位在专业业务活动及其辅助活动之外开展非独立核算经营活动取得的收入。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附属单位上缴收入：指事业单位附属的独立核算单位按有关规定上缴的收入。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其他收入：指除上述“财政拨款收入”、“事业收入”、“经营收入”、“附属单位上缴收入”等之外取得的收入。</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用事业基金弥补收支差额：指事业单位在当年的“财政拨款收入”、“财政拨款结转和结余资金”、“事业收入”、“事业单位经营收入”、“其他收入”不足以安排当年支出的情况下，使用以前年度积累的事业基金（即事业单位当年收支相抵后按国家规定提取、用于弥补以后年度收支差额的基金）弥补本年度收支缺口的资金。</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年初结转和结余：指以前年度支出预算因客观条件变化未执行完毕、结转到本年度按有关规定继续使用的资金，既包括财政拨款结转和结余，也包括事业收入、经营收入、其他收入的结转和结余。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年末结转和结余：指本年度或以前年度预算安排、因客观条件发生变化无法按原计划实施，需要延迟到以后年度按有关规定继续使用的资金，既包括财政拨款结转和结余，也包括事业收入、经营收入、其他收入的结转和结余。</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基本支出：指为保障机构正常运转、完成日常工作任务而发生的人员支出和公用支出。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项目支出：指在基本支出之外为完成特定行政任务和事业发展目标所发生的支出。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经营支出：指事业单位在专业业务活动及其辅助活动之外开展非独立核算经营活动发生的支出。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对附属单位补助支出：指事业单位发生的用非财政预算资金对附属单位的补助支出。</w:t>
      </w:r>
    </w:p>
    <w:p>
      <w:pPr>
        <w:autoSpaceDE w:val="0"/>
        <w:autoSpaceDN w:val="0"/>
        <w:ind w:firstLine="640" w:firstLineChars="200"/>
        <w:rPr>
          <w:rFonts w:ascii="仿宋_GB2312" w:eastAsia="仿宋_GB2312"/>
          <w:sz w:val="32"/>
          <w:szCs w:val="32"/>
        </w:rPr>
      </w:pPr>
      <w:r>
        <w:rPr>
          <w:rFonts w:hint="eastAsia" w:ascii="仿宋_GB2312" w:eastAsia="仿宋_GB2312"/>
          <w:sz w:val="32"/>
          <w:szCs w:val="32"/>
        </w:rPr>
        <w:t>“三公”经费：指用一般公共预算财政拨款安排的因公出国（境）费、公务用车购置及运行费和公务接待费。其中，因公出国（境）费反映单位公务出国（境）的住宿费、旅费、伙食补助费、杂费、培训费等支出；公务用车购置及运行费反映单位公务用车购置费及租用费、燃料费、维修费、过路过桥费、保险费、安全奖励费用等支出；公务接待费反映单位按规定开支的各类公务接待（含外宾接待）支出。</w:t>
      </w:r>
    </w:p>
    <w:p>
      <w:pPr>
        <w:ind w:firstLine="640" w:firstLineChars="200"/>
        <w:rPr>
          <w:rFonts w:ascii="仿宋_GB2312" w:eastAsia="仿宋_GB2312"/>
          <w:sz w:val="32"/>
          <w:szCs w:val="32"/>
        </w:rPr>
      </w:pPr>
      <w:r>
        <w:rPr>
          <w:rFonts w:hint="eastAsia" w:ascii="仿宋_GB2312" w:eastAsia="仿宋_GB2312"/>
          <w:sz w:val="32"/>
          <w:szCs w:val="32"/>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ind w:firstLine="640" w:firstLineChars="200"/>
        <w:jc w:val="center"/>
        <w:outlineLvl w:val="0"/>
        <w:rPr>
          <w:rFonts w:ascii="黑体" w:hAnsi="黑体" w:eastAsia="黑体"/>
          <w:sz w:val="32"/>
          <w:szCs w:val="32"/>
        </w:rPr>
      </w:pPr>
      <w:bookmarkStart w:id="36" w:name="_Toc28903"/>
      <w:bookmarkStart w:id="37" w:name="_Toc22784"/>
      <w:r>
        <w:rPr>
          <w:rFonts w:hint="eastAsia" w:ascii="黑体" w:hAnsi="黑体" w:eastAsia="黑体"/>
          <w:sz w:val="32"/>
          <w:szCs w:val="32"/>
        </w:rPr>
        <w:t>第四部分 部门决算报表（见附表）</w:t>
      </w:r>
      <w:bookmarkEnd w:id="36"/>
      <w:bookmarkEnd w:id="37"/>
    </w:p>
    <w:p>
      <w:pPr>
        <w:ind w:firstLine="640" w:firstLineChars="200"/>
        <w:outlineLvl w:val="1"/>
        <w:rPr>
          <w:rFonts w:ascii="黑体" w:hAnsi="黑体" w:eastAsia="黑体" w:cs="宋体"/>
          <w:bCs/>
          <w:kern w:val="0"/>
          <w:sz w:val="32"/>
          <w:szCs w:val="32"/>
        </w:rPr>
      </w:pPr>
      <w:bookmarkStart w:id="38" w:name="_Toc6062"/>
      <w:bookmarkStart w:id="39" w:name="_Toc2183"/>
      <w:r>
        <w:rPr>
          <w:rFonts w:hint="eastAsia" w:ascii="黑体" w:hAnsi="黑体" w:eastAsia="黑体" w:cs="宋体"/>
          <w:bCs/>
          <w:kern w:val="0"/>
          <w:sz w:val="32"/>
          <w:szCs w:val="32"/>
        </w:rPr>
        <w:t>一、《收入支出决算总表》</w:t>
      </w:r>
      <w:bookmarkEnd w:id="38"/>
      <w:bookmarkEnd w:id="39"/>
    </w:p>
    <w:p>
      <w:pPr>
        <w:ind w:firstLine="640" w:firstLineChars="200"/>
        <w:outlineLvl w:val="1"/>
        <w:rPr>
          <w:rFonts w:ascii="黑体" w:hAnsi="黑体" w:eastAsia="黑体" w:cs="宋体"/>
          <w:bCs/>
          <w:kern w:val="0"/>
          <w:sz w:val="32"/>
          <w:szCs w:val="32"/>
        </w:rPr>
      </w:pPr>
      <w:bookmarkStart w:id="40" w:name="_Toc30364"/>
      <w:bookmarkStart w:id="41" w:name="_Toc24532"/>
      <w:r>
        <w:rPr>
          <w:rFonts w:hint="eastAsia" w:ascii="黑体" w:hAnsi="黑体" w:eastAsia="黑体" w:cs="宋体"/>
          <w:bCs/>
          <w:kern w:val="0"/>
          <w:sz w:val="32"/>
          <w:szCs w:val="32"/>
        </w:rPr>
        <w:t>二、《收入决算表》</w:t>
      </w:r>
      <w:bookmarkEnd w:id="40"/>
      <w:bookmarkEnd w:id="41"/>
    </w:p>
    <w:p>
      <w:pPr>
        <w:ind w:firstLine="640" w:firstLineChars="200"/>
        <w:outlineLvl w:val="1"/>
        <w:rPr>
          <w:rFonts w:ascii="黑体" w:hAnsi="黑体" w:eastAsia="黑体" w:cs="宋体"/>
          <w:bCs/>
          <w:kern w:val="0"/>
          <w:sz w:val="32"/>
          <w:szCs w:val="32"/>
        </w:rPr>
      </w:pPr>
      <w:bookmarkStart w:id="42" w:name="_Toc21304"/>
      <w:bookmarkStart w:id="43" w:name="_Toc32434"/>
      <w:r>
        <w:rPr>
          <w:rFonts w:hint="eastAsia" w:ascii="黑体" w:hAnsi="黑体" w:eastAsia="黑体" w:cs="宋体"/>
          <w:bCs/>
          <w:kern w:val="0"/>
          <w:sz w:val="32"/>
          <w:szCs w:val="32"/>
        </w:rPr>
        <w:t>三、《支出决算表》</w:t>
      </w:r>
      <w:bookmarkEnd w:id="42"/>
      <w:bookmarkEnd w:id="43"/>
    </w:p>
    <w:p>
      <w:pPr>
        <w:ind w:firstLine="640" w:firstLineChars="200"/>
        <w:outlineLvl w:val="1"/>
        <w:rPr>
          <w:rFonts w:ascii="黑体" w:hAnsi="黑体" w:eastAsia="黑体" w:cs="宋体"/>
          <w:bCs/>
          <w:kern w:val="0"/>
          <w:sz w:val="32"/>
          <w:szCs w:val="32"/>
        </w:rPr>
      </w:pPr>
      <w:bookmarkStart w:id="44" w:name="_Toc14238"/>
      <w:bookmarkStart w:id="45" w:name="_Toc28786"/>
      <w:r>
        <w:rPr>
          <w:rFonts w:hint="eastAsia" w:ascii="黑体" w:hAnsi="黑体" w:eastAsia="黑体" w:cs="宋体"/>
          <w:bCs/>
          <w:kern w:val="0"/>
          <w:sz w:val="32"/>
          <w:szCs w:val="32"/>
        </w:rPr>
        <w:t>四、《财政拨款收入支出决算总表》</w:t>
      </w:r>
      <w:bookmarkEnd w:id="44"/>
      <w:bookmarkEnd w:id="45"/>
    </w:p>
    <w:p>
      <w:pPr>
        <w:ind w:firstLine="640" w:firstLineChars="200"/>
        <w:outlineLvl w:val="1"/>
        <w:rPr>
          <w:rFonts w:ascii="黑体" w:hAnsi="黑体" w:eastAsia="黑体" w:cs="宋体"/>
          <w:bCs/>
          <w:kern w:val="0"/>
          <w:sz w:val="32"/>
          <w:szCs w:val="32"/>
        </w:rPr>
      </w:pPr>
      <w:bookmarkStart w:id="46" w:name="_Toc10347"/>
      <w:bookmarkStart w:id="47" w:name="_Toc14869"/>
      <w:r>
        <w:rPr>
          <w:rFonts w:hint="eastAsia" w:ascii="黑体" w:hAnsi="黑体" w:eastAsia="黑体" w:cs="宋体"/>
          <w:bCs/>
          <w:kern w:val="0"/>
          <w:sz w:val="32"/>
          <w:szCs w:val="32"/>
        </w:rPr>
        <w:t>五、《一般公共预算财政拨款支出决算表》</w:t>
      </w:r>
      <w:bookmarkEnd w:id="46"/>
      <w:bookmarkEnd w:id="47"/>
    </w:p>
    <w:p>
      <w:pPr>
        <w:ind w:firstLine="640" w:firstLineChars="200"/>
        <w:outlineLvl w:val="1"/>
        <w:rPr>
          <w:rFonts w:ascii="黑体" w:hAnsi="黑体" w:eastAsia="黑体" w:cs="宋体"/>
          <w:bCs/>
          <w:kern w:val="0"/>
          <w:sz w:val="32"/>
          <w:szCs w:val="32"/>
        </w:rPr>
      </w:pPr>
      <w:bookmarkStart w:id="48" w:name="_Toc5626"/>
      <w:bookmarkStart w:id="49" w:name="_Toc8884"/>
      <w:r>
        <w:rPr>
          <w:rFonts w:hint="eastAsia" w:ascii="黑体" w:hAnsi="黑体" w:eastAsia="黑体" w:cs="宋体"/>
          <w:bCs/>
          <w:kern w:val="0"/>
          <w:sz w:val="32"/>
          <w:szCs w:val="32"/>
        </w:rPr>
        <w:t>六、《一般公共预算财政拨款基本支出决算表》</w:t>
      </w:r>
      <w:bookmarkEnd w:id="48"/>
      <w:bookmarkEnd w:id="49"/>
    </w:p>
    <w:p>
      <w:pPr>
        <w:ind w:firstLine="640" w:firstLineChars="200"/>
        <w:outlineLvl w:val="1"/>
        <w:rPr>
          <w:rFonts w:ascii="黑体" w:hAnsi="黑体" w:eastAsia="黑体" w:cs="宋体"/>
          <w:bCs/>
          <w:kern w:val="0"/>
          <w:sz w:val="32"/>
          <w:szCs w:val="32"/>
        </w:rPr>
      </w:pPr>
      <w:bookmarkStart w:id="50" w:name="_Toc32663"/>
      <w:bookmarkStart w:id="51" w:name="_Toc29106"/>
      <w:r>
        <w:rPr>
          <w:rFonts w:hint="eastAsia" w:ascii="黑体" w:hAnsi="黑体" w:eastAsia="黑体" w:cs="宋体"/>
          <w:bCs/>
          <w:kern w:val="0"/>
          <w:sz w:val="32"/>
          <w:szCs w:val="32"/>
        </w:rPr>
        <w:t>七、《一般公共预算财政拨款“三公”经费支出决算表》</w:t>
      </w:r>
      <w:bookmarkEnd w:id="50"/>
      <w:bookmarkEnd w:id="51"/>
    </w:p>
    <w:p>
      <w:pPr>
        <w:ind w:firstLine="640" w:firstLineChars="200"/>
        <w:outlineLvl w:val="1"/>
        <w:rPr>
          <w:rFonts w:ascii="黑体" w:hAnsi="黑体" w:eastAsia="黑体" w:cs="宋体"/>
          <w:bCs/>
          <w:kern w:val="0"/>
          <w:sz w:val="32"/>
          <w:szCs w:val="32"/>
        </w:rPr>
      </w:pPr>
      <w:bookmarkStart w:id="52" w:name="_Toc5453"/>
      <w:bookmarkStart w:id="53" w:name="_Toc7643"/>
      <w:r>
        <w:rPr>
          <w:rFonts w:hint="eastAsia" w:ascii="黑体" w:hAnsi="黑体" w:eastAsia="黑体" w:cs="宋体"/>
          <w:bCs/>
          <w:kern w:val="0"/>
          <w:sz w:val="32"/>
          <w:szCs w:val="32"/>
        </w:rPr>
        <w:t>八、《政府性基金预算财政拨款收入支出决算表》</w:t>
      </w:r>
      <w:bookmarkEnd w:id="52"/>
      <w:bookmarkEnd w:id="53"/>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0000000000000000000"/>
    <w:charset w:val="86"/>
    <w:family w:val="script"/>
    <w:pitch w:val="default"/>
    <w:sig w:usb0="00000000" w:usb1="00000000" w:usb2="00000010" w:usb3="00000000" w:csb0="00040000" w:csb1="00000000"/>
  </w:font>
  <w:font w:name="仿宋_GB2312">
    <w:altName w:val="仿宋"/>
    <w:panose1 w:val="00000000000000000000"/>
    <w:charset w:val="86"/>
    <w:family w:val="modern"/>
    <w:pitch w:val="default"/>
    <w:sig w:usb0="00000000" w:usb1="00000000" w:usb2="0000001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a:spLocks noChangeArrowheads="1"/>
                    </wps:cNvSpPr>
                    <wps:spPr bwMode="auto">
                      <a:xfrm>
                        <a:off x="0" y="0"/>
                        <a:ext cx="1828800" cy="1828800"/>
                      </a:xfrm>
                      <a:prstGeom prst="rect">
                        <a:avLst/>
                      </a:prstGeom>
                      <a:noFill/>
                      <a:ln>
                        <a:noFill/>
                      </a:ln>
                    </wps:spPr>
                    <wps:txbx>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rot="0" vert="horz" wrap="none" lIns="0" tIns="0" rIns="0" bIns="0" anchor="t" anchorCtr="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">
              <v:fill on="f" focussize="0,0"/>
              <v:stroke on="f"/>
              <v:imagedata o:title=""/>
              <o:lock v:ext="edit" aspectratio="f"/>
              <v:textbox inset="0mm,0mm,0mm,0mm" style="mso-fit-shape-to-text:t;">
                <w:txbxContent>
                  <w:p>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val="1"/>
  <w:bordersDoNotSurroundFooter w:val="1"/>
  <w:documentProtection w:edit="comments"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C6E66"/>
    <w:rsid w:val="000033EF"/>
    <w:rsid w:val="00004533"/>
    <w:rsid w:val="00005A21"/>
    <w:rsid w:val="0004063C"/>
    <w:rsid w:val="000701A7"/>
    <w:rsid w:val="00082456"/>
    <w:rsid w:val="000A663A"/>
    <w:rsid w:val="000B5514"/>
    <w:rsid w:val="000B57B8"/>
    <w:rsid w:val="000B69AB"/>
    <w:rsid w:val="000F01B7"/>
    <w:rsid w:val="000F6705"/>
    <w:rsid w:val="001111D4"/>
    <w:rsid w:val="001128A8"/>
    <w:rsid w:val="001130AE"/>
    <w:rsid w:val="001237CF"/>
    <w:rsid w:val="00125A6F"/>
    <w:rsid w:val="0014029C"/>
    <w:rsid w:val="00144642"/>
    <w:rsid w:val="00146FA3"/>
    <w:rsid w:val="001573AA"/>
    <w:rsid w:val="00162E66"/>
    <w:rsid w:val="001826D1"/>
    <w:rsid w:val="001848EE"/>
    <w:rsid w:val="00186B3B"/>
    <w:rsid w:val="001C2D35"/>
    <w:rsid w:val="001C5BE8"/>
    <w:rsid w:val="001C6E66"/>
    <w:rsid w:val="001D3634"/>
    <w:rsid w:val="001D37EF"/>
    <w:rsid w:val="001E4D79"/>
    <w:rsid w:val="001F29A9"/>
    <w:rsid w:val="001F777A"/>
    <w:rsid w:val="002122DE"/>
    <w:rsid w:val="00227229"/>
    <w:rsid w:val="002328AF"/>
    <w:rsid w:val="00233021"/>
    <w:rsid w:val="0024217C"/>
    <w:rsid w:val="00243E6C"/>
    <w:rsid w:val="00246EBC"/>
    <w:rsid w:val="00265F92"/>
    <w:rsid w:val="00272845"/>
    <w:rsid w:val="00282550"/>
    <w:rsid w:val="00287829"/>
    <w:rsid w:val="0029171A"/>
    <w:rsid w:val="00292B7F"/>
    <w:rsid w:val="00292C0A"/>
    <w:rsid w:val="002A4B19"/>
    <w:rsid w:val="002B072F"/>
    <w:rsid w:val="002B37DA"/>
    <w:rsid w:val="002B7A04"/>
    <w:rsid w:val="002D187F"/>
    <w:rsid w:val="002F1732"/>
    <w:rsid w:val="003106FF"/>
    <w:rsid w:val="00327986"/>
    <w:rsid w:val="003314E6"/>
    <w:rsid w:val="00340AE7"/>
    <w:rsid w:val="00354737"/>
    <w:rsid w:val="0037159F"/>
    <w:rsid w:val="00377EC6"/>
    <w:rsid w:val="003920B8"/>
    <w:rsid w:val="003A44F0"/>
    <w:rsid w:val="003C3EF4"/>
    <w:rsid w:val="003D1DD1"/>
    <w:rsid w:val="003E5F70"/>
    <w:rsid w:val="003F60E1"/>
    <w:rsid w:val="00400D8F"/>
    <w:rsid w:val="004161A5"/>
    <w:rsid w:val="00430E56"/>
    <w:rsid w:val="004318F5"/>
    <w:rsid w:val="00456820"/>
    <w:rsid w:val="00471387"/>
    <w:rsid w:val="00471BBD"/>
    <w:rsid w:val="0047268F"/>
    <w:rsid w:val="004A41CF"/>
    <w:rsid w:val="004A44C9"/>
    <w:rsid w:val="004B2E7F"/>
    <w:rsid w:val="004B3B3F"/>
    <w:rsid w:val="004D35C0"/>
    <w:rsid w:val="004E519F"/>
    <w:rsid w:val="004F1D2D"/>
    <w:rsid w:val="004F506B"/>
    <w:rsid w:val="00531503"/>
    <w:rsid w:val="00534ECA"/>
    <w:rsid w:val="005358C2"/>
    <w:rsid w:val="005474EB"/>
    <w:rsid w:val="005506DD"/>
    <w:rsid w:val="005529D0"/>
    <w:rsid w:val="00553FB5"/>
    <w:rsid w:val="00554A58"/>
    <w:rsid w:val="00560394"/>
    <w:rsid w:val="0056525F"/>
    <w:rsid w:val="005B1DE6"/>
    <w:rsid w:val="005C11EB"/>
    <w:rsid w:val="006032AE"/>
    <w:rsid w:val="00684E46"/>
    <w:rsid w:val="0068591E"/>
    <w:rsid w:val="00690F22"/>
    <w:rsid w:val="00693012"/>
    <w:rsid w:val="006B0B73"/>
    <w:rsid w:val="006D2B94"/>
    <w:rsid w:val="006D3853"/>
    <w:rsid w:val="006E0721"/>
    <w:rsid w:val="0070295D"/>
    <w:rsid w:val="00725755"/>
    <w:rsid w:val="0075023C"/>
    <w:rsid w:val="00750D8A"/>
    <w:rsid w:val="00764051"/>
    <w:rsid w:val="00772611"/>
    <w:rsid w:val="007741F8"/>
    <w:rsid w:val="007B0022"/>
    <w:rsid w:val="007E2E4F"/>
    <w:rsid w:val="007E3BFD"/>
    <w:rsid w:val="00807B4B"/>
    <w:rsid w:val="008144CF"/>
    <w:rsid w:val="00822EED"/>
    <w:rsid w:val="00827663"/>
    <w:rsid w:val="00847CE1"/>
    <w:rsid w:val="00852D88"/>
    <w:rsid w:val="00857132"/>
    <w:rsid w:val="00862395"/>
    <w:rsid w:val="0088099A"/>
    <w:rsid w:val="008853A8"/>
    <w:rsid w:val="00887778"/>
    <w:rsid w:val="008A54C1"/>
    <w:rsid w:val="008D5B57"/>
    <w:rsid w:val="008F7D99"/>
    <w:rsid w:val="0090080D"/>
    <w:rsid w:val="00922FA7"/>
    <w:rsid w:val="00927301"/>
    <w:rsid w:val="009351E1"/>
    <w:rsid w:val="0094423A"/>
    <w:rsid w:val="0095219B"/>
    <w:rsid w:val="00963E2E"/>
    <w:rsid w:val="009774AD"/>
    <w:rsid w:val="00980F6F"/>
    <w:rsid w:val="00993788"/>
    <w:rsid w:val="009A173F"/>
    <w:rsid w:val="009C479E"/>
    <w:rsid w:val="009F4245"/>
    <w:rsid w:val="009F594D"/>
    <w:rsid w:val="00A009B3"/>
    <w:rsid w:val="00A239E7"/>
    <w:rsid w:val="00A34EDA"/>
    <w:rsid w:val="00A77ECE"/>
    <w:rsid w:val="00AA13D0"/>
    <w:rsid w:val="00AC0B18"/>
    <w:rsid w:val="00AC1D87"/>
    <w:rsid w:val="00AC2605"/>
    <w:rsid w:val="00AE136F"/>
    <w:rsid w:val="00AE6C82"/>
    <w:rsid w:val="00AE7A56"/>
    <w:rsid w:val="00AF0871"/>
    <w:rsid w:val="00AF530E"/>
    <w:rsid w:val="00AF5DFE"/>
    <w:rsid w:val="00B006E5"/>
    <w:rsid w:val="00B24234"/>
    <w:rsid w:val="00B3219F"/>
    <w:rsid w:val="00B42062"/>
    <w:rsid w:val="00B64D13"/>
    <w:rsid w:val="00B76725"/>
    <w:rsid w:val="00BC38D2"/>
    <w:rsid w:val="00BC65E4"/>
    <w:rsid w:val="00BE0A9F"/>
    <w:rsid w:val="00BF4880"/>
    <w:rsid w:val="00C01003"/>
    <w:rsid w:val="00C2317E"/>
    <w:rsid w:val="00C87860"/>
    <w:rsid w:val="00C92609"/>
    <w:rsid w:val="00C974A0"/>
    <w:rsid w:val="00CA0969"/>
    <w:rsid w:val="00CB7A14"/>
    <w:rsid w:val="00CC66CE"/>
    <w:rsid w:val="00CD1E0A"/>
    <w:rsid w:val="00CE40E2"/>
    <w:rsid w:val="00CE4AEB"/>
    <w:rsid w:val="00CE74CB"/>
    <w:rsid w:val="00D00B68"/>
    <w:rsid w:val="00D04E19"/>
    <w:rsid w:val="00D6644C"/>
    <w:rsid w:val="00D71F68"/>
    <w:rsid w:val="00D767F4"/>
    <w:rsid w:val="00DA07A0"/>
    <w:rsid w:val="00DB4A9A"/>
    <w:rsid w:val="00DB6F81"/>
    <w:rsid w:val="00DD3B82"/>
    <w:rsid w:val="00E02851"/>
    <w:rsid w:val="00E43F43"/>
    <w:rsid w:val="00E76594"/>
    <w:rsid w:val="00EA656B"/>
    <w:rsid w:val="00EB1FF2"/>
    <w:rsid w:val="00EB42AF"/>
    <w:rsid w:val="00EB49C8"/>
    <w:rsid w:val="00EE3598"/>
    <w:rsid w:val="00EE791B"/>
    <w:rsid w:val="00EF3292"/>
    <w:rsid w:val="00F040C7"/>
    <w:rsid w:val="00F04DC0"/>
    <w:rsid w:val="00F24BA1"/>
    <w:rsid w:val="00F45607"/>
    <w:rsid w:val="00F552F7"/>
    <w:rsid w:val="00F57EE2"/>
    <w:rsid w:val="00F67C07"/>
    <w:rsid w:val="00F777E1"/>
    <w:rsid w:val="00F80266"/>
    <w:rsid w:val="00F83E19"/>
    <w:rsid w:val="00FB3828"/>
    <w:rsid w:val="00FC7A52"/>
    <w:rsid w:val="00FE0761"/>
    <w:rsid w:val="00FF5166"/>
    <w:rsid w:val="06792773"/>
    <w:rsid w:val="1DAF458D"/>
    <w:rsid w:val="29493CBC"/>
    <w:rsid w:val="2A053397"/>
    <w:rsid w:val="2D1136DF"/>
    <w:rsid w:val="31C63837"/>
    <w:rsid w:val="3D5275AC"/>
    <w:rsid w:val="46901EEE"/>
    <w:rsid w:val="469C74D2"/>
    <w:rsid w:val="4876471C"/>
    <w:rsid w:val="489C2F7A"/>
    <w:rsid w:val="50DB5F45"/>
    <w:rsid w:val="53AC12CC"/>
    <w:rsid w:val="554C249B"/>
    <w:rsid w:val="69AD798C"/>
    <w:rsid w:val="6B68175F"/>
    <w:rsid w:val="73FB6630"/>
    <w:rsid w:val="77ED6F4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uiPriority w:val="1"/>
  </w:style>
  <w:style w:type="table" w:default="1" w:styleId="9">
    <w:name w:val="Normal Table"/>
    <w:semiHidden/>
    <w:unhideWhenUsed/>
    <w:qFormat/>
    <w:uiPriority w:val="99"/>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uiPriority w:val="0"/>
    <w:pPr>
      <w:ind w:left="420" w:leftChars="200"/>
    </w:pPr>
  </w:style>
  <w:style w:type="paragraph" w:customStyle="1" w:styleId="10">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1">
    <w:name w:val="WPSOffice手动目录 2"/>
    <w:uiPriority w:val="0"/>
    <w:pPr>
      <w:ind w:left="200" w:leftChars="200"/>
    </w:pPr>
    <w:rPr>
      <w:rFonts w:ascii="Times New Roman" w:hAnsi="Times New Roman" w:eastAsia="宋体" w:cs="Times New Roman"/>
      <w:lang w:val="en-US" w:eastAsia="zh-CN" w:bidi="ar-SA"/>
    </w:rPr>
  </w:style>
  <w:style w:type="paragraph" w:customStyle="1" w:styleId="12">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1031</Words>
  <Characters>5881</Characters>
  <Lines>49</Lines>
  <Paragraphs>13</Paragraphs>
  <TotalTime>20</TotalTime>
  <ScaleCrop>false</ScaleCrop>
  <LinksUpToDate>false</LinksUpToDate>
  <CharactersWithSpaces>6899</CharactersWithSpaces>
  <Application>WPS Office_10.1.0.7520_F1E327BC-269C-435d-A152-05C5408002CA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2020-09-08T14:04:00Z</dcterms:created>
  <dc:creator>GXR</dc:creator>
  <cp:lastModifiedBy>Administrator</cp:lastModifiedBy>
  <dcterms:modified xsi:type="dcterms:W3CDTF">2020-11-20T07:31:19Z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2052-10.1.0.7520</vt:lpwstr>
  </property>
</Properties>
</file>