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cs="Arial" w:asciiTheme="minorEastAsia" w:hAnsiTheme="minorEastAsia" w:eastAsiaTheme="minorEastAsia"/>
          <w:bCs/>
          <w:sz w:val="32"/>
          <w:szCs w:val="32"/>
        </w:rPr>
      </w:pPr>
      <w:r>
        <w:rPr>
          <w:rFonts w:hint="eastAsia" w:cs="Arial" w:asciiTheme="minorEastAsia" w:hAnsiTheme="minorEastAsia" w:eastAsiaTheme="minorEastAsia"/>
          <w:bCs/>
          <w:sz w:val="32"/>
          <w:szCs w:val="32"/>
        </w:rPr>
        <w:t>附件3:</w:t>
      </w:r>
    </w:p>
    <w:p>
      <w:pPr>
        <w:spacing w:line="600" w:lineRule="exact"/>
        <w:jc w:val="center"/>
        <w:rPr>
          <w:rFonts w:ascii="方正小标宋_GBK" w:hAnsi="宋体" w:eastAsia="方正小标宋_GBK" w:cs="宋体"/>
          <w:bCs/>
          <w:sz w:val="44"/>
          <w:szCs w:val="44"/>
        </w:rPr>
      </w:pPr>
      <w:r>
        <w:rPr>
          <w:rFonts w:hint="eastAsia" w:ascii="方正小标宋_GBK" w:hAnsi="Arial" w:eastAsia="方正小标宋_GBK" w:cs="Arial"/>
          <w:bCs/>
          <w:sz w:val="44"/>
          <w:szCs w:val="44"/>
        </w:rPr>
        <w:t>新疆</w:t>
      </w:r>
      <w:r>
        <w:rPr>
          <w:rFonts w:hint="eastAsia" w:ascii="方正小标宋_GBK" w:hAnsi="Arial" w:eastAsia="方正小标宋_GBK" w:cs="Arial"/>
          <w:bCs/>
          <w:sz w:val="44"/>
          <w:szCs w:val="44"/>
          <w:lang w:eastAsia="zh-CN"/>
        </w:rPr>
        <w:t>喀什地区</w:t>
      </w:r>
      <w:r>
        <w:rPr>
          <w:rFonts w:hint="eastAsia" w:ascii="方正小标宋_GBK" w:hAnsi="宋体" w:eastAsia="方正小标宋_GBK" w:cs="宋体"/>
          <w:bCs/>
          <w:sz w:val="44"/>
          <w:szCs w:val="44"/>
        </w:rPr>
        <w:t>专项转移支付</w:t>
      </w:r>
      <w:r>
        <w:rPr>
          <w:rFonts w:ascii="方正小标宋_GBK" w:hAnsi="Arial" w:eastAsia="方正小标宋_GBK" w:cs="Arial"/>
          <w:bCs/>
          <w:sz w:val="44"/>
          <w:szCs w:val="44"/>
        </w:rPr>
        <w:t>201</w:t>
      </w:r>
      <w:r>
        <w:rPr>
          <w:rFonts w:hint="eastAsia" w:ascii="方正小标宋_GBK" w:hAnsi="Arial" w:eastAsia="方正小标宋_GBK" w:cs="Arial"/>
          <w:bCs/>
          <w:sz w:val="44"/>
          <w:szCs w:val="44"/>
        </w:rPr>
        <w:t>9</w:t>
      </w:r>
      <w:r>
        <w:rPr>
          <w:rFonts w:hint="eastAsia" w:ascii="方正小标宋_GBK" w:hAnsi="宋体" w:eastAsia="方正小标宋_GBK" w:cs="宋体"/>
          <w:bCs/>
          <w:sz w:val="44"/>
          <w:szCs w:val="44"/>
        </w:rPr>
        <w:t>年度</w:t>
      </w:r>
    </w:p>
    <w:p>
      <w:pPr>
        <w:spacing w:line="600" w:lineRule="exact"/>
        <w:jc w:val="center"/>
        <w:rPr>
          <w:rFonts w:ascii="方正小标宋_GBK" w:hAnsi="宋体" w:eastAsia="方正小标宋_GBK" w:cs="宋体"/>
          <w:bCs/>
          <w:sz w:val="44"/>
          <w:szCs w:val="44"/>
        </w:rPr>
      </w:pPr>
      <w:r>
        <w:rPr>
          <w:rFonts w:hint="eastAsia" w:ascii="方正小标宋_GBK" w:hAnsi="宋体" w:eastAsia="方正小标宋_GBK" w:cs="宋体"/>
          <w:bCs/>
          <w:sz w:val="44"/>
          <w:szCs w:val="44"/>
        </w:rPr>
        <w:t>绩效自评报告</w:t>
      </w:r>
    </w:p>
    <w:p>
      <w:pPr>
        <w:spacing w:line="600" w:lineRule="exact"/>
        <w:jc w:val="center"/>
        <w:rPr>
          <w:rFonts w:ascii="楷体_GB2312" w:hAnsi="华文中宋" w:eastAsia="楷体_GB2312"/>
          <w:bCs/>
          <w:sz w:val="32"/>
          <w:szCs w:val="32"/>
        </w:rPr>
      </w:pPr>
    </w:p>
    <w:p>
      <w:pPr>
        <w:spacing w:line="600" w:lineRule="exact"/>
        <w:ind w:firstLine="640" w:firstLineChars="200"/>
        <w:rPr>
          <w:rFonts w:ascii="仿宋_GB2312"/>
          <w:sz w:val="32"/>
          <w:szCs w:val="32"/>
        </w:rPr>
      </w:pP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一、绩效目标分解下达情况</w:t>
      </w:r>
    </w:p>
    <w:p>
      <w:pPr>
        <w:tabs>
          <w:tab w:val="right" w:pos="7706"/>
        </w:tabs>
        <w:ind w:firstLine="600" w:firstLineChars="200"/>
        <w:outlineLvl w:val="0"/>
        <w:rPr>
          <w:rFonts w:hint="eastAsia" w:ascii="仿宋_GB2312"/>
          <w:szCs w:val="32"/>
        </w:rPr>
      </w:pPr>
      <w:r>
        <w:rPr>
          <w:rFonts w:hint="eastAsia" w:ascii="仿宋_GB2312"/>
          <w:szCs w:val="32"/>
        </w:rPr>
        <w:t>（一）中央下达专项转移支付预算和绩效目标情况。</w:t>
      </w:r>
    </w:p>
    <w:p>
      <w:pPr>
        <w:spacing w:line="540" w:lineRule="exact"/>
        <w:ind w:firstLine="567"/>
        <w:rPr>
          <w:rFonts w:hint="eastAsia" w:ascii="仿宋" w:hAnsi="仿宋" w:eastAsia="仿宋" w:cs="仿宋"/>
          <w:sz w:val="32"/>
          <w:szCs w:val="32"/>
        </w:rPr>
      </w:pPr>
      <w:r>
        <w:rPr>
          <w:rFonts w:hint="eastAsia" w:ascii="仿宋" w:hAnsi="仿宋" w:eastAsia="仿宋" w:cs="仿宋"/>
          <w:sz w:val="32"/>
          <w:szCs w:val="32"/>
        </w:rPr>
        <w:t>根据喀什地区财政局《关于下达中央补助地方公共文化体系服务建设专项资金的通知》(喀地财教[2018]148号)文件精神，麦财教字[2019]4号，现下达你单位2019年广播电视节目无线覆盖运行维护经费87.98万元。</w:t>
      </w:r>
    </w:p>
    <w:p>
      <w:pPr>
        <w:spacing w:line="360" w:lineRule="auto"/>
        <w:ind w:firstLine="640" w:firstLineChars="200"/>
        <w:rPr>
          <w:rFonts w:ascii="仿宋" w:hAnsi="仿宋" w:eastAsia="仿宋"/>
          <w:sz w:val="32"/>
          <w:szCs w:val="32"/>
        </w:rPr>
      </w:pPr>
      <w:r>
        <w:rPr>
          <w:rFonts w:hint="eastAsia" w:ascii="仿宋" w:hAnsi="仿宋" w:eastAsia="仿宋"/>
          <w:sz w:val="32"/>
          <w:szCs w:val="32"/>
        </w:rPr>
        <w:t>绩效目标情况：项目实施时间2019年1月1日-2019年12月30日；本项目共涉及六个发射塔的维护，无线覆盖范围涉及8乡2镇。</w:t>
      </w:r>
    </w:p>
    <w:p>
      <w:pPr>
        <w:spacing w:line="600" w:lineRule="exact"/>
        <w:ind w:firstLine="640" w:firstLineChars="200"/>
        <w:rPr>
          <w:rFonts w:ascii="仿宋_GB2312"/>
          <w:sz w:val="32"/>
          <w:szCs w:val="32"/>
        </w:rPr>
      </w:pPr>
    </w:p>
    <w:p>
      <w:pPr>
        <w:numPr>
          <w:ilvl w:val="0"/>
          <w:numId w:val="1"/>
        </w:numPr>
        <w:tabs>
          <w:tab w:val="left" w:pos="7080"/>
        </w:tabs>
        <w:spacing w:line="600" w:lineRule="exact"/>
        <w:ind w:firstLine="640" w:firstLineChars="200"/>
        <w:rPr>
          <w:rFonts w:hint="eastAsia" w:ascii="仿宋_GB2312"/>
          <w:sz w:val="32"/>
          <w:szCs w:val="32"/>
        </w:rPr>
      </w:pPr>
      <w:r>
        <w:rPr>
          <w:rFonts w:hint="eastAsia" w:ascii="仿宋_GB2312"/>
          <w:sz w:val="32"/>
          <w:szCs w:val="32"/>
        </w:rPr>
        <w:t>自治区分解下达预算和绩效目标情况。</w:t>
      </w:r>
    </w:p>
    <w:p>
      <w:pPr>
        <w:numPr>
          <w:ilvl w:val="0"/>
          <w:numId w:val="0"/>
        </w:numPr>
        <w:tabs>
          <w:tab w:val="left" w:pos="7080"/>
        </w:tabs>
        <w:spacing w:line="600" w:lineRule="exact"/>
        <w:ind w:firstLine="1500" w:firstLineChars="500"/>
        <w:rPr>
          <w:rFonts w:ascii="仿宋_GB2312"/>
          <w:sz w:val="32"/>
          <w:szCs w:val="32"/>
        </w:rPr>
      </w:pPr>
      <w:r>
        <w:rPr>
          <w:rFonts w:hint="eastAsia" w:ascii="黑体" w:hAnsi="黑体" w:eastAsia="黑体" w:cs="黑体"/>
          <w:bCs/>
          <w:szCs w:val="32"/>
        </w:rPr>
        <w:t>无</w:t>
      </w:r>
      <w:r>
        <w:rPr>
          <w:rFonts w:ascii="仿宋_GB2312"/>
          <w:sz w:val="32"/>
          <w:szCs w:val="32"/>
        </w:rPr>
        <w:tab/>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二、绩效目标完成情况分析</w:t>
      </w:r>
    </w:p>
    <w:p>
      <w:pPr>
        <w:ind w:firstLine="600" w:firstLineChars="200"/>
        <w:rPr>
          <w:rFonts w:hint="eastAsia" w:ascii="仿宋_GB2312"/>
          <w:szCs w:val="32"/>
        </w:rPr>
      </w:pPr>
      <w:r>
        <w:rPr>
          <w:rFonts w:hint="eastAsia" w:ascii="仿宋_GB2312"/>
          <w:szCs w:val="32"/>
        </w:rPr>
        <w:t>（一）前期准备。</w:t>
      </w:r>
    </w:p>
    <w:p>
      <w:pPr>
        <w:spacing w:line="360" w:lineRule="auto"/>
        <w:ind w:firstLine="640" w:firstLineChars="200"/>
        <w:rPr>
          <w:rFonts w:hint="eastAsia" w:ascii="仿宋" w:hAnsi="仿宋" w:eastAsia="仿宋" w:cs="仿宋_GB2312"/>
          <w:sz w:val="32"/>
          <w:szCs w:val="32"/>
        </w:rPr>
      </w:pPr>
      <w:r>
        <w:rPr>
          <w:rFonts w:hint="eastAsia" w:ascii="仿宋" w:hAnsi="仿宋" w:eastAsia="仿宋" w:cs="仿宋_GB2312"/>
          <w:sz w:val="32"/>
          <w:szCs w:val="32"/>
        </w:rPr>
        <w:t>1、根据该项目要求，我单位召集相关人员部署项目绩效评价目标与范围，成立了绩效自评工作组，作为绩效自评工作具体实施机构合理制定工作实施方案和计划绩效自评小组。</w:t>
      </w:r>
    </w:p>
    <w:p>
      <w:pPr>
        <w:spacing w:line="360" w:lineRule="auto"/>
        <w:ind w:firstLine="640" w:firstLineChars="200"/>
        <w:rPr>
          <w:rFonts w:hint="eastAsia" w:ascii="仿宋" w:hAnsi="仿宋" w:eastAsia="仿宋" w:cs="仿宋_GB2312"/>
          <w:sz w:val="32"/>
          <w:szCs w:val="32"/>
        </w:rPr>
      </w:pPr>
      <w:r>
        <w:rPr>
          <w:rFonts w:hint="eastAsia" w:ascii="仿宋" w:hAnsi="仿宋" w:eastAsia="仿宋" w:cs="仿宋_GB2312"/>
          <w:sz w:val="32"/>
          <w:szCs w:val="32"/>
        </w:rPr>
        <w:t>组长为：潘国平，台长；</w:t>
      </w:r>
    </w:p>
    <w:p>
      <w:pPr>
        <w:spacing w:line="360" w:lineRule="auto"/>
        <w:ind w:firstLine="640" w:firstLineChars="200"/>
        <w:rPr>
          <w:rFonts w:hint="eastAsia" w:ascii="仿宋" w:hAnsi="仿宋" w:eastAsia="仿宋" w:cs="仿宋_GB2312"/>
          <w:sz w:val="32"/>
          <w:szCs w:val="32"/>
        </w:rPr>
      </w:pPr>
      <w:r>
        <w:rPr>
          <w:rFonts w:hint="eastAsia" w:ascii="仿宋" w:hAnsi="仿宋" w:eastAsia="仿宋" w:cs="仿宋_GB2312"/>
          <w:sz w:val="32"/>
          <w:szCs w:val="32"/>
        </w:rPr>
        <w:t>副组长：王海峰,副台长；</w:t>
      </w:r>
    </w:p>
    <w:p>
      <w:pPr>
        <w:spacing w:line="360" w:lineRule="auto"/>
        <w:ind w:firstLine="640" w:firstLineChars="200"/>
        <w:rPr>
          <w:rFonts w:hint="eastAsia" w:ascii="仿宋" w:hAnsi="仿宋" w:eastAsia="仿宋" w:cs="仿宋_GB2312"/>
          <w:sz w:val="32"/>
          <w:szCs w:val="32"/>
        </w:rPr>
      </w:pPr>
      <w:r>
        <w:rPr>
          <w:rFonts w:hint="eastAsia" w:ascii="仿宋" w:hAnsi="仿宋" w:eastAsia="仿宋" w:cs="仿宋_GB2312"/>
          <w:sz w:val="32"/>
          <w:szCs w:val="32"/>
        </w:rPr>
        <w:t>组员：伏苗苗,办公室；</w:t>
      </w:r>
    </w:p>
    <w:p>
      <w:pPr>
        <w:spacing w:line="360" w:lineRule="auto"/>
        <w:ind w:firstLine="1600" w:firstLineChars="500"/>
        <w:rPr>
          <w:rFonts w:hint="eastAsia" w:ascii="仿宋" w:hAnsi="仿宋" w:eastAsia="仿宋" w:cs="仿宋_GB2312"/>
          <w:sz w:val="32"/>
          <w:szCs w:val="32"/>
        </w:rPr>
      </w:pPr>
      <w:r>
        <w:rPr>
          <w:rFonts w:hint="eastAsia" w:ascii="仿宋" w:hAnsi="仿宋" w:eastAsia="仿宋" w:cs="仿宋_GB2312"/>
          <w:sz w:val="32"/>
          <w:szCs w:val="32"/>
        </w:rPr>
        <w:t>郎兵,财务。</w:t>
      </w:r>
    </w:p>
    <w:p>
      <w:pPr>
        <w:spacing w:line="360" w:lineRule="auto"/>
        <w:ind w:firstLine="1600" w:firstLineChars="500"/>
        <w:rPr>
          <w:rFonts w:ascii="仿宋" w:hAnsi="仿宋" w:eastAsia="仿宋" w:cs="仿宋_GB2312"/>
          <w:sz w:val="32"/>
          <w:szCs w:val="32"/>
        </w:rPr>
      </w:pPr>
      <w:r>
        <w:rPr>
          <w:rFonts w:hint="eastAsia" w:ascii="仿宋" w:hAnsi="仿宋" w:eastAsia="仿宋" w:cs="仿宋_GB2312"/>
          <w:sz w:val="32"/>
          <w:szCs w:val="32"/>
        </w:rPr>
        <w:t>朱秀花，出纳</w:t>
      </w:r>
    </w:p>
    <w:p>
      <w:pPr>
        <w:spacing w:line="360" w:lineRule="auto"/>
        <w:ind w:firstLine="640" w:firstLineChars="200"/>
        <w:rPr>
          <w:rFonts w:ascii="仿宋" w:hAnsi="仿宋" w:eastAsia="仿宋" w:cs="仿宋_GB2312"/>
          <w:sz w:val="32"/>
          <w:szCs w:val="32"/>
        </w:rPr>
      </w:pPr>
      <w:r>
        <w:rPr>
          <w:rFonts w:hint="eastAsia" w:ascii="仿宋" w:hAnsi="仿宋" w:eastAsia="仿宋" w:cs="仿宋_GB2312"/>
          <w:sz w:val="32"/>
          <w:szCs w:val="32"/>
        </w:rPr>
        <w:t>2、整理项目全过程资料建档：资金及项目批复文件、绩效目标申报表、可行性研究报告、实施方案、（招标文件）绩效目标过程监控表、验收报告（或决算）、满意度调查问卷作为评价基础资料。</w:t>
      </w:r>
    </w:p>
    <w:p>
      <w:pPr>
        <w:spacing w:line="360" w:lineRule="auto"/>
        <w:ind w:firstLine="640" w:firstLineChars="200"/>
        <w:rPr>
          <w:rFonts w:hint="eastAsia" w:ascii="仿宋" w:hAnsi="仿宋" w:eastAsia="仿宋" w:cs="仿宋_GB2312"/>
          <w:sz w:val="32"/>
          <w:szCs w:val="32"/>
        </w:rPr>
      </w:pPr>
      <w:r>
        <w:rPr>
          <w:rFonts w:ascii="仿宋" w:hAnsi="仿宋" w:eastAsia="仿宋" w:cs="仿宋_GB2312"/>
          <w:sz w:val="32"/>
          <w:szCs w:val="32"/>
        </w:rPr>
        <w:t>3</w:t>
      </w:r>
      <w:r>
        <w:rPr>
          <w:rFonts w:hint="eastAsia" w:ascii="仿宋" w:hAnsi="仿宋" w:eastAsia="仿宋" w:cs="仿宋_GB2312"/>
          <w:sz w:val="32"/>
          <w:szCs w:val="32"/>
        </w:rPr>
        <w:t>、评级工作组采取“年初绩效目标预定与实施效果比较法”进行评价，评价指标体系以绩效目标申报指标为依据。</w:t>
      </w:r>
    </w:p>
    <w:p>
      <w:pPr>
        <w:ind w:firstLine="600" w:firstLineChars="200"/>
        <w:rPr>
          <w:rFonts w:hint="eastAsia" w:ascii="仿宋_GB2312"/>
          <w:szCs w:val="32"/>
        </w:rPr>
      </w:pPr>
      <w:r>
        <w:rPr>
          <w:rFonts w:hint="eastAsia" w:ascii="仿宋_GB2312"/>
          <w:szCs w:val="32"/>
        </w:rPr>
        <w:t>（二）组织过程。</w:t>
      </w:r>
    </w:p>
    <w:p>
      <w:pPr>
        <w:spacing w:line="360" w:lineRule="auto"/>
        <w:ind w:firstLine="640" w:firstLineChars="200"/>
        <w:rPr>
          <w:rFonts w:ascii="仿宋" w:hAnsi="仿宋" w:eastAsia="仿宋" w:cs="仿宋_GB2312"/>
          <w:sz w:val="32"/>
          <w:szCs w:val="32"/>
        </w:rPr>
      </w:pPr>
      <w:r>
        <w:rPr>
          <w:rFonts w:ascii="仿宋" w:hAnsi="仿宋" w:eastAsia="仿宋" w:cs="仿宋_GB2312"/>
          <w:sz w:val="32"/>
          <w:szCs w:val="32"/>
        </w:rPr>
        <w:t>1</w:t>
      </w:r>
      <w:r>
        <w:rPr>
          <w:rFonts w:hint="eastAsia" w:ascii="仿宋" w:hAnsi="仿宋" w:eastAsia="仿宋" w:cs="仿宋_GB2312"/>
          <w:sz w:val="32"/>
          <w:szCs w:val="32"/>
        </w:rPr>
        <w:t>、采取现场和非现场评价相结合的方式实施评价，核查核实评价基础资料，对缺少的资料要求实施单位补充，对由资金下发不及时导致未完成项目，提供相关说明和批复文件。</w:t>
      </w:r>
    </w:p>
    <w:p>
      <w:pPr>
        <w:spacing w:line="600" w:lineRule="exact"/>
        <w:ind w:firstLine="640" w:firstLineChars="200"/>
        <w:rPr>
          <w:rFonts w:hint="eastAsia" w:ascii="仿宋" w:hAnsi="仿宋" w:eastAsia="仿宋" w:cs="仿宋_GB2312"/>
          <w:sz w:val="32"/>
          <w:szCs w:val="32"/>
        </w:rPr>
      </w:pPr>
      <w:r>
        <w:rPr>
          <w:rFonts w:ascii="仿宋" w:hAnsi="仿宋" w:eastAsia="仿宋" w:cs="仿宋_GB2312"/>
          <w:sz w:val="32"/>
          <w:szCs w:val="32"/>
        </w:rPr>
        <w:t>2</w:t>
      </w:r>
      <w:r>
        <w:rPr>
          <w:rFonts w:hint="eastAsia" w:ascii="仿宋" w:hAnsi="仿宋" w:eastAsia="仿宋" w:cs="仿宋_GB2312"/>
          <w:sz w:val="32"/>
          <w:szCs w:val="32"/>
        </w:rPr>
        <w:t>、记录工作底稿并经项目负责人和经办人签字确认</w:t>
      </w:r>
    </w:p>
    <w:p>
      <w:pPr>
        <w:ind w:firstLine="600" w:firstLineChars="200"/>
        <w:rPr>
          <w:rFonts w:hint="eastAsia" w:ascii="仿宋_GB2312"/>
          <w:szCs w:val="32"/>
        </w:rPr>
      </w:pPr>
      <w:r>
        <w:rPr>
          <w:rFonts w:hint="eastAsia" w:ascii="仿宋_GB2312"/>
          <w:szCs w:val="32"/>
        </w:rPr>
        <w:t>（三）分析评价。</w:t>
      </w:r>
    </w:p>
    <w:p>
      <w:pPr>
        <w:spacing w:line="360" w:lineRule="auto"/>
        <w:ind w:firstLine="640" w:firstLineChars="200"/>
        <w:rPr>
          <w:rFonts w:hint="eastAsia" w:ascii="仿宋" w:hAnsi="仿宋" w:eastAsia="仿宋" w:cs="仿宋_GB2312"/>
          <w:sz w:val="32"/>
          <w:szCs w:val="32"/>
        </w:rPr>
      </w:pPr>
      <w:r>
        <w:rPr>
          <w:rFonts w:hint="eastAsia" w:ascii="仿宋" w:hAnsi="仿宋" w:eastAsia="仿宋" w:cs="仿宋_GB2312"/>
          <w:sz w:val="32"/>
          <w:szCs w:val="32"/>
        </w:rPr>
        <w:t>对采集的数据资料进行复核汇总、分类整理和综合分析，按照设立的评价指标、标准、权重、方法实施评价，并形成评价结论。</w:t>
      </w:r>
    </w:p>
    <w:p>
      <w:pPr>
        <w:spacing w:line="600" w:lineRule="exact"/>
        <w:ind w:firstLine="643" w:firstLineChars="200"/>
        <w:rPr>
          <w:rFonts w:hint="eastAsia" w:ascii="仿宋" w:hAnsi="仿宋" w:eastAsia="仿宋" w:cs="仿宋"/>
          <w:sz w:val="32"/>
          <w:szCs w:val="32"/>
        </w:rPr>
      </w:pPr>
      <w:r>
        <w:rPr>
          <w:rFonts w:hint="eastAsia" w:ascii="楷体_GB2312" w:hAnsi="楷体_GB2312" w:eastAsia="楷体_GB2312" w:cs="楷体_GB2312"/>
          <w:b/>
          <w:bCs/>
          <w:sz w:val="32"/>
          <w:szCs w:val="32"/>
        </w:rPr>
        <w:t>（二）绩效目标完成情况分析。</w:t>
      </w:r>
      <w:r>
        <w:rPr>
          <w:rFonts w:hint="eastAsia" w:ascii="仿宋" w:hAnsi="仿宋" w:eastAsia="仿宋" w:cs="仿宋"/>
          <w:sz w:val="32"/>
          <w:szCs w:val="32"/>
        </w:rPr>
        <w:t>经综合评价，本项目达成预期指标，在项目实施过程中，做到了资金使用、管理、保障到位，严格执行电视台资金管理办法和财政资金管理制度，以公共服务文化体系均等化、标准化为抓手，扎实推进，稳步推进麦盖提县的基层文化服务建设任务，全年已完成建设任务100%，在项目实施的过程中做到了资金的使用、管理、保障到位。精准对接群众的文化需求，实现了双向互动，让市民的生活得到了显著的提升。根据年初设定的绩效目标，此项目综合得分100分。</w:t>
      </w:r>
    </w:p>
    <w:p>
      <w:pPr>
        <w:ind w:firstLine="600" w:firstLineChars="200"/>
        <w:rPr>
          <w:rFonts w:hint="eastAsia" w:ascii="黑体" w:hAnsi="黑体" w:eastAsia="黑体" w:cs="黑体"/>
          <w:bCs/>
          <w:szCs w:val="32"/>
        </w:rPr>
      </w:pPr>
      <w:r>
        <w:rPr>
          <w:rFonts w:hint="eastAsia" w:ascii="黑体" w:hAnsi="黑体" w:eastAsia="黑体" w:cs="黑体"/>
          <w:bCs/>
          <w:szCs w:val="32"/>
        </w:rPr>
        <w:t>四、绩效目标实现情况分析</w:t>
      </w:r>
    </w:p>
    <w:p>
      <w:pPr>
        <w:ind w:firstLine="602" w:firstLineChars="200"/>
        <w:outlineLvl w:val="0"/>
        <w:rPr>
          <w:rFonts w:hint="eastAsia" w:ascii="楷体_GB2312" w:hAnsi="楷体_GB2312" w:eastAsia="楷体_GB2312" w:cs="楷体_GB2312"/>
          <w:b/>
          <w:bCs/>
          <w:szCs w:val="32"/>
        </w:rPr>
      </w:pPr>
      <w:r>
        <w:rPr>
          <w:rFonts w:hint="eastAsia" w:ascii="楷体_GB2312" w:hAnsi="楷体_GB2312" w:eastAsia="楷体_GB2312" w:cs="楷体_GB2312"/>
          <w:b/>
          <w:bCs/>
          <w:szCs w:val="32"/>
        </w:rPr>
        <w:t>（一）项目资金情况分析。</w:t>
      </w:r>
    </w:p>
    <w:p>
      <w:pPr>
        <w:ind w:firstLine="600" w:firstLineChars="200"/>
        <w:rPr>
          <w:rFonts w:hint="eastAsia" w:ascii="仿宋_GB2312"/>
          <w:szCs w:val="32"/>
        </w:rPr>
      </w:pPr>
      <w:r>
        <w:rPr>
          <w:rFonts w:hint="eastAsia" w:ascii="仿宋_GB2312"/>
          <w:szCs w:val="32"/>
        </w:rPr>
        <w:t>1.项目资金到位情况分析。</w:t>
      </w:r>
    </w:p>
    <w:p>
      <w:pPr>
        <w:spacing w:line="60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根据喀什地区财政局《关于下达中央补助地方公共文化服务体系建设专项资金的通知》（喀地财教[2018]148号）文件精神，下达你单</w:t>
      </w:r>
      <w:r>
        <w:rPr>
          <w:rFonts w:hint="eastAsia" w:ascii="仿宋" w:hAnsi="仿宋" w:eastAsia="仿宋"/>
          <w:bCs/>
          <w:spacing w:val="-4"/>
          <w:sz w:val="32"/>
          <w:szCs w:val="32"/>
          <w:lang w:val="en-US" w:eastAsia="zh-CN"/>
        </w:rPr>
        <w:t>位资</w:t>
      </w:r>
      <w:r>
        <w:rPr>
          <w:rFonts w:hint="eastAsia" w:ascii="仿宋" w:hAnsi="仿宋" w:eastAsia="仿宋"/>
          <w:bCs/>
          <w:spacing w:val="-4"/>
          <w:sz w:val="32"/>
          <w:szCs w:val="32"/>
        </w:rPr>
        <w:t>金87.98万元，现已到账</w:t>
      </w:r>
      <w:bookmarkStart w:id="0" w:name="_GoBack"/>
      <w:bookmarkEnd w:id="0"/>
      <w:r>
        <w:rPr>
          <w:rFonts w:hint="eastAsia" w:ascii="仿宋" w:hAnsi="仿宋" w:eastAsia="仿宋"/>
          <w:bCs/>
          <w:spacing w:val="-4"/>
          <w:sz w:val="32"/>
          <w:szCs w:val="32"/>
        </w:rPr>
        <w:t>87.98万元，资金到位率100%。</w:t>
      </w:r>
    </w:p>
    <w:p>
      <w:pPr>
        <w:ind w:firstLine="600" w:firstLineChars="200"/>
        <w:rPr>
          <w:rFonts w:hint="eastAsia" w:ascii="仿宋_GB2312"/>
          <w:szCs w:val="32"/>
        </w:rPr>
      </w:pPr>
      <w:r>
        <w:rPr>
          <w:rFonts w:hint="eastAsia" w:ascii="仿宋_GB2312"/>
          <w:szCs w:val="32"/>
        </w:rPr>
        <w:t>2.项目资金执行情况分析。</w:t>
      </w:r>
    </w:p>
    <w:p>
      <w:pPr>
        <w:adjustRightInd w:val="0"/>
        <w:snapToGrid w:val="0"/>
        <w:spacing w:line="360" w:lineRule="auto"/>
        <w:ind w:firstLine="640" w:firstLineChars="200"/>
        <w:outlineLvl w:val="0"/>
        <w:rPr>
          <w:rFonts w:ascii="仿宋" w:hAnsi="仿宋" w:eastAsia="仿宋" w:cs="仿宋"/>
          <w:sz w:val="32"/>
          <w:szCs w:val="32"/>
        </w:rPr>
      </w:pPr>
      <w:r>
        <w:rPr>
          <w:rFonts w:hint="eastAsia" w:ascii="仿宋" w:hAnsi="仿宋" w:eastAsia="仿宋" w:cs="仿宋"/>
          <w:sz w:val="32"/>
          <w:szCs w:val="32"/>
        </w:rPr>
        <w:t>此项目下达资金为87.98万元，其中电费13万元，云平台建设60万元，通讯费4万元；办公经费4万元，合计支出87.98万元，预算执行率100%。</w:t>
      </w:r>
    </w:p>
    <w:p>
      <w:pPr>
        <w:ind w:left="600"/>
        <w:rPr>
          <w:rFonts w:hint="eastAsia"/>
        </w:rPr>
      </w:pPr>
      <w:r>
        <w:rPr>
          <w:rFonts w:hint="eastAsia" w:ascii="仿宋_GB2312"/>
          <w:szCs w:val="32"/>
        </w:rPr>
        <w:t>3.项目资金管理情况分析。</w:t>
      </w:r>
    </w:p>
    <w:p>
      <w:pPr>
        <w:adjustRightInd w:val="0"/>
        <w:snapToGrid w:val="0"/>
        <w:spacing w:line="560" w:lineRule="exact"/>
        <w:ind w:firstLine="624" w:firstLineChars="200"/>
        <w:outlineLvl w:val="0"/>
        <w:rPr>
          <w:rFonts w:ascii="仿宋" w:hAnsi="仿宋" w:eastAsia="仿宋"/>
          <w:bCs/>
          <w:color w:val="000000"/>
          <w:spacing w:val="-4"/>
          <w:sz w:val="32"/>
          <w:szCs w:val="32"/>
        </w:rPr>
      </w:pPr>
      <w:r>
        <w:rPr>
          <w:rFonts w:hint="eastAsia" w:ascii="仿宋" w:hAnsi="仿宋" w:eastAsia="仿宋"/>
          <w:bCs/>
          <w:color w:val="000000"/>
          <w:spacing w:val="-4"/>
          <w:sz w:val="32"/>
          <w:szCs w:val="32"/>
        </w:rPr>
        <w:t>根据《新疆维吾尔自治区财政专项资金管理办法》（新财教[2019]20号）的文件精神，加强和规范项目资金的管理，强化专项资金的管理。广播电视台已制定相应的项目资金管理办法；②项目资金管理办法符合国家财经法规和财务管理制度以及有关资金管理办法的规定；③资金的拨付有完整的审批程序和手续；④不存在截留、挤占、挪用、虚列支出等情况；</w:t>
      </w:r>
    </w:p>
    <w:p>
      <w:pPr>
        <w:ind w:firstLine="602" w:firstLineChars="200"/>
        <w:outlineLvl w:val="0"/>
        <w:rPr>
          <w:rFonts w:hint="eastAsia" w:ascii="楷体_GB2312" w:hAnsi="楷体_GB2312" w:eastAsia="楷体_GB2312" w:cs="楷体_GB2312"/>
          <w:b/>
          <w:bCs/>
          <w:szCs w:val="32"/>
        </w:rPr>
      </w:pPr>
      <w:r>
        <w:rPr>
          <w:rFonts w:hint="eastAsia" w:ascii="楷体_GB2312" w:hAnsi="楷体_GB2312" w:eastAsia="楷体_GB2312" w:cs="楷体_GB2312"/>
          <w:b/>
          <w:bCs/>
          <w:szCs w:val="32"/>
        </w:rPr>
        <w:t>（二）项目绩效指标完成情况分析。</w:t>
      </w:r>
    </w:p>
    <w:p>
      <w:pPr>
        <w:ind w:firstLine="624" w:firstLineChars="200"/>
        <w:rPr>
          <w:rFonts w:hint="eastAsia" w:ascii="仿宋" w:hAnsi="仿宋" w:eastAsia="仿宋"/>
          <w:spacing w:val="-4"/>
          <w:sz w:val="32"/>
          <w:szCs w:val="32"/>
        </w:rPr>
      </w:pPr>
      <w:r>
        <w:rPr>
          <w:rFonts w:hint="eastAsia" w:ascii="仿宋" w:hAnsi="仿宋" w:eastAsia="仿宋"/>
          <w:spacing w:val="-4"/>
          <w:sz w:val="32"/>
          <w:szCs w:val="32"/>
        </w:rPr>
        <w:t>1.产出指标完成情况分析。</w:t>
      </w:r>
    </w:p>
    <w:p>
      <w:pPr>
        <w:ind w:firstLine="624" w:firstLineChars="200"/>
        <w:rPr>
          <w:rFonts w:hint="eastAsia" w:ascii="仿宋" w:hAnsi="仿宋" w:eastAsia="仿宋"/>
          <w:spacing w:val="-4"/>
          <w:sz w:val="32"/>
          <w:szCs w:val="32"/>
        </w:rPr>
      </w:pPr>
      <w:r>
        <w:rPr>
          <w:rFonts w:hint="eastAsia" w:ascii="仿宋" w:hAnsi="仿宋" w:eastAsia="仿宋"/>
          <w:spacing w:val="-4"/>
          <w:sz w:val="32"/>
          <w:szCs w:val="32"/>
        </w:rPr>
        <w:t>（1）项目完成数量。</w:t>
      </w:r>
    </w:p>
    <w:p>
      <w:pPr>
        <w:spacing w:line="360" w:lineRule="auto"/>
        <w:ind w:firstLine="624" w:firstLineChars="200"/>
        <w:rPr>
          <w:rFonts w:hint="eastAsia" w:ascii="仿宋" w:hAnsi="仿宋" w:eastAsia="仿宋"/>
          <w:spacing w:val="-4"/>
          <w:sz w:val="32"/>
          <w:szCs w:val="32"/>
        </w:rPr>
      </w:pPr>
      <w:r>
        <w:rPr>
          <w:rFonts w:hint="eastAsia" w:ascii="仿宋" w:hAnsi="仿宋" w:eastAsia="仿宋"/>
          <w:spacing w:val="-4"/>
          <w:sz w:val="32"/>
          <w:szCs w:val="32"/>
        </w:rPr>
        <w:t>已全部完成。</w:t>
      </w:r>
    </w:p>
    <w:p>
      <w:pPr>
        <w:numPr>
          <w:ilvl w:val="0"/>
          <w:numId w:val="2"/>
        </w:numPr>
        <w:ind w:firstLine="624" w:firstLineChars="200"/>
        <w:rPr>
          <w:rFonts w:hint="eastAsia" w:ascii="仿宋" w:hAnsi="仿宋" w:eastAsia="仿宋"/>
          <w:spacing w:val="-4"/>
          <w:sz w:val="32"/>
          <w:szCs w:val="32"/>
        </w:rPr>
      </w:pPr>
      <w:r>
        <w:rPr>
          <w:rFonts w:hint="eastAsia" w:ascii="仿宋" w:hAnsi="仿宋" w:eastAsia="仿宋"/>
          <w:spacing w:val="-4"/>
          <w:sz w:val="32"/>
          <w:szCs w:val="32"/>
        </w:rPr>
        <w:t>项目完成质量。</w:t>
      </w:r>
    </w:p>
    <w:p>
      <w:pPr>
        <w:spacing w:line="360" w:lineRule="auto"/>
        <w:ind w:firstLine="936" w:firstLineChars="300"/>
        <w:rPr>
          <w:rFonts w:hint="eastAsia" w:ascii="仿宋" w:hAnsi="仿宋" w:eastAsia="仿宋"/>
          <w:spacing w:val="-4"/>
          <w:sz w:val="32"/>
          <w:szCs w:val="32"/>
        </w:rPr>
      </w:pPr>
      <w:r>
        <w:rPr>
          <w:rFonts w:hint="eastAsia" w:ascii="仿宋" w:hAnsi="仿宋" w:eastAsia="仿宋"/>
          <w:spacing w:val="-4"/>
          <w:sz w:val="32"/>
          <w:szCs w:val="32"/>
        </w:rPr>
        <w:t>良好</w:t>
      </w:r>
    </w:p>
    <w:p>
      <w:pPr>
        <w:numPr>
          <w:ilvl w:val="0"/>
          <w:numId w:val="2"/>
        </w:numPr>
        <w:ind w:firstLine="624" w:firstLineChars="200"/>
        <w:rPr>
          <w:rFonts w:hint="eastAsia" w:ascii="仿宋" w:hAnsi="仿宋" w:eastAsia="仿宋"/>
          <w:spacing w:val="-4"/>
          <w:sz w:val="32"/>
          <w:szCs w:val="32"/>
        </w:rPr>
      </w:pPr>
      <w:r>
        <w:rPr>
          <w:rFonts w:hint="eastAsia" w:ascii="仿宋" w:hAnsi="仿宋" w:eastAsia="仿宋"/>
          <w:spacing w:val="-4"/>
          <w:sz w:val="32"/>
          <w:szCs w:val="32"/>
        </w:rPr>
        <w:t>项目实施进度。</w:t>
      </w:r>
    </w:p>
    <w:p>
      <w:pPr>
        <w:spacing w:line="360" w:lineRule="auto"/>
        <w:ind w:firstLine="936" w:firstLineChars="300"/>
        <w:rPr>
          <w:rFonts w:hint="eastAsia" w:ascii="仿宋" w:hAnsi="仿宋" w:eastAsia="仿宋"/>
          <w:spacing w:val="-4"/>
          <w:sz w:val="32"/>
          <w:szCs w:val="32"/>
        </w:rPr>
      </w:pPr>
      <w:r>
        <w:rPr>
          <w:rFonts w:hint="eastAsia" w:ascii="仿宋" w:hAnsi="仿宋" w:eastAsia="仿宋"/>
          <w:spacing w:val="-4"/>
          <w:sz w:val="32"/>
          <w:szCs w:val="32"/>
        </w:rPr>
        <w:t>截止2019年12月31日，既定目标已落实，政府采购项目也均已验收该项目已全部完成.</w:t>
      </w:r>
    </w:p>
    <w:p>
      <w:pPr>
        <w:ind w:left="600" w:leftChars="200"/>
        <w:rPr>
          <w:rFonts w:hint="eastAsia" w:ascii="仿宋" w:hAnsi="仿宋" w:eastAsia="仿宋"/>
          <w:spacing w:val="-4"/>
          <w:sz w:val="32"/>
          <w:szCs w:val="32"/>
        </w:rPr>
      </w:pPr>
      <w:r>
        <w:rPr>
          <w:rFonts w:hint="eastAsia" w:ascii="仿宋" w:hAnsi="仿宋" w:eastAsia="仿宋"/>
          <w:spacing w:val="-4"/>
          <w:sz w:val="32"/>
          <w:szCs w:val="32"/>
        </w:rPr>
        <w:t>（4）项目成本节约情况。</w:t>
      </w:r>
    </w:p>
    <w:p>
      <w:pPr>
        <w:ind w:left="600" w:leftChars="200" w:firstLine="312" w:firstLineChars="100"/>
        <w:rPr>
          <w:rFonts w:hint="eastAsia" w:ascii="仿宋" w:hAnsi="仿宋" w:eastAsia="仿宋"/>
          <w:spacing w:val="-4"/>
          <w:sz w:val="32"/>
          <w:szCs w:val="32"/>
        </w:rPr>
      </w:pPr>
      <w:r>
        <w:rPr>
          <w:rFonts w:hint="eastAsia" w:ascii="仿宋" w:hAnsi="仿宋" w:eastAsia="仿宋"/>
          <w:spacing w:val="-4"/>
          <w:sz w:val="32"/>
          <w:szCs w:val="32"/>
        </w:rPr>
        <w:t>有招投标的按照投标文件进行采购支出，无招投标的严格按照相关专项资金的管理办法执行。</w:t>
      </w:r>
    </w:p>
    <w:p>
      <w:pPr>
        <w:ind w:firstLine="624" w:firstLineChars="200"/>
        <w:rPr>
          <w:rFonts w:hint="eastAsia" w:ascii="仿宋" w:hAnsi="仿宋" w:eastAsia="仿宋"/>
          <w:spacing w:val="-4"/>
          <w:sz w:val="32"/>
          <w:szCs w:val="32"/>
        </w:rPr>
      </w:pPr>
      <w:r>
        <w:rPr>
          <w:rFonts w:hint="eastAsia" w:ascii="仿宋" w:hAnsi="仿宋" w:eastAsia="仿宋"/>
          <w:spacing w:val="-4"/>
          <w:sz w:val="32"/>
          <w:szCs w:val="32"/>
        </w:rPr>
        <w:t>2.效益指标完成情况分析。</w:t>
      </w:r>
    </w:p>
    <w:p>
      <w:pPr>
        <w:ind w:firstLine="624" w:firstLineChars="200"/>
        <w:rPr>
          <w:rFonts w:hint="eastAsia" w:ascii="仿宋" w:hAnsi="仿宋" w:eastAsia="仿宋"/>
          <w:spacing w:val="-4"/>
          <w:sz w:val="32"/>
          <w:szCs w:val="32"/>
        </w:rPr>
      </w:pPr>
      <w:r>
        <w:rPr>
          <w:rFonts w:hint="eastAsia" w:ascii="仿宋" w:hAnsi="仿宋" w:eastAsia="仿宋"/>
          <w:spacing w:val="-4"/>
          <w:sz w:val="32"/>
          <w:szCs w:val="32"/>
        </w:rPr>
        <w:t>（1）项目实施的经济效益分析。</w:t>
      </w:r>
    </w:p>
    <w:p>
      <w:pPr>
        <w:spacing w:line="360" w:lineRule="auto"/>
        <w:ind w:firstLine="936" w:firstLineChars="300"/>
        <w:rPr>
          <w:rFonts w:hint="eastAsia" w:ascii="仿宋" w:hAnsi="仿宋" w:eastAsia="仿宋"/>
          <w:spacing w:val="-4"/>
          <w:sz w:val="32"/>
          <w:szCs w:val="32"/>
        </w:rPr>
      </w:pPr>
      <w:r>
        <w:rPr>
          <w:rFonts w:hint="eastAsia" w:ascii="仿宋" w:hAnsi="仿宋" w:eastAsia="仿宋"/>
          <w:spacing w:val="-4"/>
          <w:sz w:val="32"/>
          <w:szCs w:val="32"/>
        </w:rPr>
        <w:t>无</w:t>
      </w:r>
    </w:p>
    <w:p>
      <w:pPr>
        <w:numPr>
          <w:ilvl w:val="0"/>
          <w:numId w:val="3"/>
        </w:numPr>
        <w:ind w:firstLine="624" w:firstLineChars="200"/>
        <w:rPr>
          <w:rFonts w:hint="eastAsia" w:ascii="仿宋" w:hAnsi="仿宋" w:eastAsia="仿宋"/>
          <w:spacing w:val="-4"/>
          <w:sz w:val="32"/>
          <w:szCs w:val="32"/>
        </w:rPr>
      </w:pPr>
      <w:r>
        <w:rPr>
          <w:rFonts w:hint="eastAsia" w:ascii="仿宋" w:hAnsi="仿宋" w:eastAsia="仿宋"/>
          <w:spacing w:val="-4"/>
          <w:sz w:val="32"/>
          <w:szCs w:val="32"/>
        </w:rPr>
        <w:t>项目实施的社会效益分析。</w:t>
      </w:r>
    </w:p>
    <w:p>
      <w:pPr>
        <w:ind w:left="624" w:leftChars="208" w:firstLine="468" w:firstLineChars="150"/>
        <w:rPr>
          <w:rFonts w:hint="eastAsia" w:ascii="仿宋" w:hAnsi="仿宋" w:eastAsia="仿宋"/>
          <w:spacing w:val="-4"/>
          <w:sz w:val="32"/>
          <w:szCs w:val="32"/>
        </w:rPr>
      </w:pPr>
      <w:r>
        <w:rPr>
          <w:rFonts w:hint="eastAsia" w:ascii="仿宋" w:hAnsi="仿宋" w:eastAsia="仿宋"/>
          <w:spacing w:val="-4"/>
          <w:sz w:val="32"/>
          <w:szCs w:val="32"/>
        </w:rPr>
        <w:t>全县广播电视发挥论引导职能，宣传党的好社会效益政策，引导农民脱贫致富，为了麦盖提县经济发展和社会发展做出贡献。项目实施的生态效益分析。</w:t>
      </w:r>
    </w:p>
    <w:p>
      <w:pPr>
        <w:numPr>
          <w:ilvl w:val="0"/>
          <w:numId w:val="3"/>
        </w:numPr>
        <w:ind w:firstLine="624" w:firstLineChars="200"/>
        <w:rPr>
          <w:rFonts w:hint="eastAsia" w:ascii="仿宋" w:hAnsi="仿宋" w:eastAsia="仿宋"/>
          <w:spacing w:val="-4"/>
          <w:sz w:val="32"/>
          <w:szCs w:val="32"/>
        </w:rPr>
      </w:pPr>
      <w:r>
        <w:rPr>
          <w:rFonts w:hint="eastAsia" w:ascii="仿宋" w:hAnsi="仿宋" w:eastAsia="仿宋"/>
          <w:spacing w:val="-4"/>
          <w:sz w:val="32"/>
          <w:szCs w:val="32"/>
        </w:rPr>
        <w:t>项目实施的可持续影响分析。</w:t>
      </w:r>
    </w:p>
    <w:p>
      <w:pPr>
        <w:spacing w:line="600" w:lineRule="exact"/>
        <w:ind w:left="624" w:leftChars="208" w:firstLine="624" w:firstLineChars="200"/>
        <w:rPr>
          <w:rFonts w:hint="eastAsia" w:ascii="仿宋" w:hAnsi="仿宋" w:eastAsia="仿宋"/>
          <w:spacing w:val="-4"/>
          <w:sz w:val="32"/>
          <w:szCs w:val="32"/>
        </w:rPr>
      </w:pPr>
      <w:r>
        <w:rPr>
          <w:rFonts w:hint="eastAsia" w:ascii="仿宋" w:hAnsi="仿宋" w:eastAsia="仿宋"/>
          <w:spacing w:val="-4"/>
          <w:sz w:val="32"/>
          <w:szCs w:val="32"/>
        </w:rPr>
        <w:t>对于农村而言，文化建设和信息建设比较落后，而广播电视台是我国农村地区获取重要信息的主要方式之一，通过无线覆盖工程的实施，给广大偏远地区人民群众带去了方便，带去了信息的传播方式，让他们能够看到更多的精彩节目。</w:t>
      </w:r>
    </w:p>
    <w:p>
      <w:pPr>
        <w:numPr>
          <w:ilvl w:val="0"/>
          <w:numId w:val="4"/>
        </w:numPr>
        <w:ind w:firstLine="624" w:firstLineChars="200"/>
        <w:rPr>
          <w:rFonts w:hint="eastAsia" w:ascii="仿宋" w:hAnsi="仿宋" w:eastAsia="仿宋"/>
          <w:spacing w:val="-4"/>
          <w:sz w:val="32"/>
          <w:szCs w:val="32"/>
        </w:rPr>
      </w:pPr>
      <w:r>
        <w:rPr>
          <w:rFonts w:hint="eastAsia" w:ascii="仿宋" w:hAnsi="仿宋" w:eastAsia="仿宋"/>
          <w:spacing w:val="-4"/>
          <w:sz w:val="32"/>
          <w:szCs w:val="32"/>
        </w:rPr>
        <w:t>满意度指标完成情况分析。</w:t>
      </w:r>
    </w:p>
    <w:p>
      <w:pPr>
        <w:spacing w:line="600" w:lineRule="exact"/>
        <w:ind w:left="640"/>
        <w:rPr>
          <w:rFonts w:hint="eastAsia" w:ascii="仿宋" w:hAnsi="仿宋" w:eastAsia="仿宋"/>
          <w:spacing w:val="-4"/>
          <w:sz w:val="32"/>
          <w:szCs w:val="32"/>
        </w:rPr>
      </w:pPr>
      <w:r>
        <w:rPr>
          <w:rFonts w:hint="eastAsia" w:ascii="仿宋" w:hAnsi="仿宋" w:eastAsia="仿宋"/>
          <w:spacing w:val="-4"/>
          <w:sz w:val="32"/>
          <w:szCs w:val="32"/>
        </w:rPr>
        <w:t>按计划完成项目实施，已做满意度调查问卷，满意率达98%，服务对象满意度指标完成。在播放效果、社会效益，经济效益、促进政府政策的宣传以及民众意识的提升等方面都取得了质的提升。</w:t>
      </w:r>
    </w:p>
    <w:p>
      <w:pPr>
        <w:spacing w:line="360" w:lineRule="auto"/>
        <w:ind w:firstLine="936" w:firstLineChars="300"/>
        <w:rPr>
          <w:rFonts w:hint="eastAsia" w:ascii="仿宋" w:hAnsi="仿宋" w:eastAsia="仿宋"/>
          <w:spacing w:val="-4"/>
          <w:sz w:val="32"/>
          <w:szCs w:val="32"/>
        </w:rPr>
      </w:pPr>
    </w:p>
    <w:p>
      <w:pPr>
        <w:spacing w:line="600" w:lineRule="exact"/>
        <w:ind w:firstLine="640" w:firstLineChars="200"/>
        <w:rPr>
          <w:rFonts w:ascii="仿宋_GB2312"/>
          <w:sz w:val="32"/>
          <w:szCs w:val="32"/>
        </w:rPr>
      </w:pP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三、偏离绩效目标的原因和下一步改进措施</w:t>
      </w:r>
    </w:p>
    <w:p>
      <w:pPr>
        <w:spacing w:line="60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2019年本项目绩效目标全部达成，不存在</w:t>
      </w:r>
      <w:r>
        <w:rPr>
          <w:rFonts w:hint="eastAsia" w:ascii="仿宋" w:hAnsi="仿宋" w:eastAsia="仿宋"/>
          <w:spacing w:val="-4"/>
          <w:sz w:val="32"/>
          <w:szCs w:val="32"/>
          <w:lang w:eastAsia="zh-CN"/>
        </w:rPr>
        <w:t>偏离</w:t>
      </w:r>
      <w:r>
        <w:rPr>
          <w:rFonts w:hint="eastAsia" w:ascii="仿宋" w:hAnsi="仿宋" w:eastAsia="仿宋"/>
          <w:spacing w:val="-4"/>
          <w:sz w:val="32"/>
          <w:szCs w:val="32"/>
        </w:rPr>
        <w:t>，今后对各项指标和指标值的设定要进一步优化、完善。</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四、绩效自评结果拟应用和公开情况</w:t>
      </w:r>
    </w:p>
    <w:p>
      <w:pPr>
        <w:ind w:firstLine="624" w:firstLineChars="200"/>
        <w:rPr>
          <w:rFonts w:hint="eastAsia" w:ascii="仿宋" w:hAnsi="仿宋" w:eastAsia="仿宋" w:cs="仿宋"/>
          <w:color w:val="000000"/>
          <w:spacing w:val="-4"/>
          <w:sz w:val="32"/>
          <w:szCs w:val="32"/>
        </w:rPr>
      </w:pPr>
      <w:r>
        <w:rPr>
          <w:rFonts w:hint="eastAsia" w:ascii="仿宋" w:hAnsi="仿宋" w:eastAsia="仿宋" w:cs="仿宋"/>
          <w:color w:val="000000"/>
          <w:spacing w:val="-4"/>
          <w:sz w:val="32"/>
          <w:szCs w:val="32"/>
        </w:rPr>
        <w:t>本次评价通过文件研读、实地调研、数据分析等方式，全面了解了项目资金的使用效率和效果，项目管理过程规范，按照实施方案完成了预期绩效目标。通过开展预算绩效管理和绩效自评工作，以强化单位职能为核心，通过建立科学合理的绩效机制，客观准确的评价我单位项目支出绩效，不断完善绩效评价体系，加强监督检查和考核工作。同时，通过开展自我评价来总结经验</w:t>
      </w:r>
      <w:r>
        <w:rPr>
          <w:rFonts w:ascii="仿宋" w:hAnsi="仿宋" w:eastAsia="仿宋" w:cs="仿宋"/>
          <w:color w:val="000000"/>
          <w:spacing w:val="-4"/>
          <w:sz w:val="32"/>
          <w:szCs w:val="32"/>
        </w:rPr>
        <w:t>,</w:t>
      </w:r>
      <w:r>
        <w:rPr>
          <w:rFonts w:hint="eastAsia" w:ascii="仿宋" w:hAnsi="仿宋" w:eastAsia="仿宋" w:cs="仿宋"/>
          <w:color w:val="000000"/>
          <w:spacing w:val="-4"/>
          <w:sz w:val="32"/>
          <w:szCs w:val="32"/>
        </w:rPr>
        <w:t>为今后同类项目的执行与实施提供了参考依据。</w:t>
      </w:r>
    </w:p>
    <w:p/>
    <w:p>
      <w:pPr>
        <w:pStyle w:val="2"/>
      </w:pPr>
    </w:p>
    <w:p>
      <w:pPr>
        <w:rPr>
          <w:rFonts w:hint="eastAsia"/>
          <w:lang w:val="en-US" w:eastAsia="zh-CN"/>
        </w:rPr>
      </w:pPr>
      <w:r>
        <w:rPr>
          <w:rFonts w:hint="eastAsia"/>
          <w:lang w:val="en-US" w:eastAsia="zh-CN"/>
        </w:rPr>
        <w:t xml:space="preserve">                        麦盖提县广播电视台</w:t>
      </w:r>
    </w:p>
    <w:p>
      <w:pPr>
        <w:pStyle w:val="2"/>
        <w:rPr>
          <w:rFonts w:hint="default" w:ascii="Times New Roman" w:hAnsi="Times New Roman" w:eastAsia="仿宋_GB2312" w:cs="Times New Roman"/>
          <w:b w:val="0"/>
          <w:bCs w:val="0"/>
          <w:kern w:val="2"/>
          <w:sz w:val="30"/>
          <w:szCs w:val="24"/>
          <w:lang w:val="en-US" w:eastAsia="zh-CN" w:bidi="ar-SA"/>
        </w:rPr>
      </w:pPr>
      <w:r>
        <w:rPr>
          <w:rFonts w:hint="eastAsia"/>
          <w:lang w:val="en-US" w:eastAsia="zh-CN"/>
        </w:rPr>
        <w:t xml:space="preserve">                        </w:t>
      </w:r>
      <w:r>
        <w:rPr>
          <w:rFonts w:hint="eastAsia" w:ascii="Times New Roman" w:hAnsi="Times New Roman" w:eastAsia="仿宋_GB2312" w:cs="Times New Roman"/>
          <w:b w:val="0"/>
          <w:bCs w:val="0"/>
          <w:kern w:val="2"/>
          <w:sz w:val="30"/>
          <w:szCs w:val="24"/>
          <w:lang w:val="en-US" w:eastAsia="zh-CN" w:bidi="ar-SA"/>
        </w:rPr>
        <w:t xml:space="preserve">    2020年4月9日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782967"/>
      <w:docPartObj>
        <w:docPartGallery w:val="autotext"/>
      </w:docPartObj>
    </w:sdtPr>
    <w:sdtContent>
      <w:p>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B307AF"/>
    <w:multiLevelType w:val="singleLevel"/>
    <w:tmpl w:val="89B307AF"/>
    <w:lvl w:ilvl="0" w:tentative="0">
      <w:start w:val="2"/>
      <w:numFmt w:val="decimal"/>
      <w:suff w:val="nothing"/>
      <w:lvlText w:val="（%1）"/>
      <w:lvlJc w:val="left"/>
    </w:lvl>
  </w:abstractNum>
  <w:abstractNum w:abstractNumId="1">
    <w:nsid w:val="95D1E3B6"/>
    <w:multiLevelType w:val="singleLevel"/>
    <w:tmpl w:val="95D1E3B6"/>
    <w:lvl w:ilvl="0" w:tentative="0">
      <w:start w:val="2"/>
      <w:numFmt w:val="decimal"/>
      <w:suff w:val="nothing"/>
      <w:lvlText w:val="（%1）"/>
      <w:lvlJc w:val="left"/>
    </w:lvl>
  </w:abstractNum>
  <w:abstractNum w:abstractNumId="2">
    <w:nsid w:val="99B350F1"/>
    <w:multiLevelType w:val="singleLevel"/>
    <w:tmpl w:val="99B350F1"/>
    <w:lvl w:ilvl="0" w:tentative="0">
      <w:start w:val="2"/>
      <w:numFmt w:val="chineseCounting"/>
      <w:suff w:val="nothing"/>
      <w:lvlText w:val="（%1）"/>
      <w:lvlJc w:val="left"/>
      <w:rPr>
        <w:rFonts w:hint="eastAsia"/>
      </w:rPr>
    </w:lvl>
  </w:abstractNum>
  <w:abstractNum w:abstractNumId="3">
    <w:nsid w:val="CFB91BD1"/>
    <w:multiLevelType w:val="singleLevel"/>
    <w:tmpl w:val="CFB91BD1"/>
    <w:lvl w:ilvl="0" w:tentative="0">
      <w:start w:val="2"/>
      <w:numFmt w:val="decimal"/>
      <w:lvlText w:val="%1."/>
      <w:lvlJc w:val="left"/>
      <w:pPr>
        <w:tabs>
          <w:tab w:val="left" w:pos="738"/>
        </w:tabs>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F12"/>
    <w:rsid w:val="00197CE4"/>
    <w:rsid w:val="001E4202"/>
    <w:rsid w:val="00257A56"/>
    <w:rsid w:val="00AA58C5"/>
    <w:rsid w:val="00EF5F12"/>
    <w:rsid w:val="18AE4387"/>
    <w:rsid w:val="29991DA3"/>
    <w:rsid w:val="42A363A9"/>
    <w:rsid w:val="6B2C78E5"/>
    <w:rsid w:val="7C224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3"/>
    <w:basedOn w:val="1"/>
    <w:next w:val="1"/>
    <w:qFormat/>
    <w:uiPriority w:val="99"/>
    <w:pPr>
      <w:keepNext/>
      <w:widowControl/>
      <w:spacing w:before="240" w:after="60"/>
      <w:jc w:val="left"/>
      <w:outlineLvl w:val="2"/>
    </w:pPr>
    <w:rPr>
      <w:rFonts w:ascii="Calibri Light" w:hAnsi="Calibri Light" w:eastAsia="宋体"/>
      <w:b/>
      <w:bCs/>
      <w:kern w:val="0"/>
      <w:sz w:val="26"/>
      <w:szCs w:val="26"/>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0"/>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6"/>
    <w:link w:val="5"/>
    <w:qFormat/>
    <w:uiPriority w:val="99"/>
    <w:rPr>
      <w:sz w:val="18"/>
      <w:szCs w:val="18"/>
    </w:rPr>
  </w:style>
  <w:style w:type="character" w:customStyle="1" w:styleId="9">
    <w:name w:val="页脚 Char"/>
    <w:basedOn w:val="6"/>
    <w:link w:val="4"/>
    <w:qFormat/>
    <w:uiPriority w:val="99"/>
    <w:rPr>
      <w:sz w:val="18"/>
      <w:szCs w:val="18"/>
    </w:rPr>
  </w:style>
  <w:style w:type="character" w:customStyle="1" w:styleId="10">
    <w:name w:val="批注框文本 Char"/>
    <w:basedOn w:val="6"/>
    <w:link w:val="3"/>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60</Words>
  <Characters>344</Characters>
  <Lines>2</Lines>
  <Paragraphs>1</Paragraphs>
  <TotalTime>3</TotalTime>
  <ScaleCrop>false</ScaleCrop>
  <LinksUpToDate>false</LinksUpToDate>
  <CharactersWithSpaces>403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2020-04-03T03:40:00Z</dcterms:created>
  <dc:creator>lenovo</dc:creator>
  <cp:lastModifiedBy>Administrator</cp:lastModifiedBy>
  <cp:lastPrinted>2020-04-03T03:41:00Z</cp:lastPrinted>
  <dcterms:modified xsi:type="dcterms:W3CDTF">2020-11-20T07:35:48Z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