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3A8" w:rsidRDefault="008853A8">
      <w:pPr>
        <w:rPr>
          <w:rFonts w:ascii="黑体" w:eastAsia="黑体" w:hAnsi="黑体"/>
          <w:sz w:val="32"/>
          <w:szCs w:val="32"/>
        </w:rPr>
      </w:pPr>
      <w:r>
        <w:rPr>
          <w:rFonts w:ascii="黑体" w:eastAsia="黑体" w:hAnsi="黑体" w:hint="eastAsia"/>
          <w:sz w:val="32"/>
          <w:szCs w:val="32"/>
        </w:rPr>
        <w:t>附件：</w:t>
      </w:r>
    </w:p>
    <w:p w:rsidR="008853A8" w:rsidRDefault="008853A8">
      <w:pPr>
        <w:jc w:val="center"/>
        <w:rPr>
          <w:rFonts w:ascii="方正小标宋_GBK" w:eastAsia="方正小标宋_GBK" w:hAnsi="宋体"/>
          <w:sz w:val="44"/>
          <w:szCs w:val="44"/>
        </w:rPr>
      </w:pPr>
    </w:p>
    <w:p w:rsidR="008853A8" w:rsidRDefault="008853A8">
      <w:pPr>
        <w:jc w:val="center"/>
        <w:rPr>
          <w:rFonts w:ascii="方正小标宋_GBK" w:eastAsia="方正小标宋_GBK" w:hAnsi="宋体"/>
          <w:sz w:val="44"/>
          <w:szCs w:val="44"/>
        </w:rPr>
      </w:pPr>
    </w:p>
    <w:p w:rsidR="008853A8" w:rsidRDefault="008853A8">
      <w:pPr>
        <w:jc w:val="center"/>
        <w:rPr>
          <w:rFonts w:ascii="方正小标宋_GBK" w:eastAsia="方正小标宋_GBK" w:hAnsi="宋体"/>
          <w:sz w:val="44"/>
          <w:szCs w:val="44"/>
        </w:rPr>
      </w:pPr>
    </w:p>
    <w:p w:rsidR="008853A8" w:rsidRDefault="008853A8">
      <w:pPr>
        <w:jc w:val="center"/>
        <w:rPr>
          <w:rFonts w:ascii="方正小标宋_GBK" w:eastAsia="方正小标宋_GBK" w:hAnsi="宋体"/>
          <w:sz w:val="44"/>
          <w:szCs w:val="44"/>
        </w:rPr>
      </w:pPr>
    </w:p>
    <w:p w:rsidR="008853A8" w:rsidRDefault="00377EC6">
      <w:pPr>
        <w:jc w:val="center"/>
        <w:rPr>
          <w:rFonts w:ascii="方正小标宋_GBK" w:eastAsia="方正小标宋_GBK" w:hAnsi="宋体"/>
          <w:sz w:val="44"/>
          <w:szCs w:val="44"/>
        </w:rPr>
      </w:pPr>
      <w:r>
        <w:rPr>
          <w:rFonts w:ascii="方正小标宋_GBK" w:eastAsia="方正小标宋_GBK" w:hAnsi="方正小标宋_GBK" w:cs="方正小标宋_GBK"/>
          <w:sz w:val="44"/>
        </w:rPr>
        <w:t>新疆喀什地区麦盖提县科学技术局2019年度部门决算公开说明</w:t>
      </w:r>
    </w:p>
    <w:p w:rsidR="008853A8" w:rsidRDefault="008853A8">
      <w:pPr>
        <w:jc w:val="center"/>
        <w:rPr>
          <w:rFonts w:ascii="仿宋_GB2312" w:eastAsia="仿宋_GB2312" w:hAnsi="仿宋_GB2312" w:cs="仿宋_GB2312"/>
          <w:bCs/>
          <w:kern w:val="0"/>
          <w:sz w:val="32"/>
          <w:szCs w:val="32"/>
        </w:rPr>
      </w:pPr>
      <w:r>
        <w:rPr>
          <w:rFonts w:ascii="方正小标宋_GBK" w:eastAsia="方正小标宋_GBK" w:hAnsi="宋体" w:hint="eastAsia"/>
          <w:sz w:val="44"/>
          <w:szCs w:val="44"/>
        </w:rPr>
        <w:br w:type="page"/>
      </w:r>
      <w:r>
        <w:rPr>
          <w:rFonts w:ascii="仿宋_GB2312" w:eastAsia="仿宋_GB2312" w:hAnsi="仿宋_GB2312" w:cs="仿宋_GB2312" w:hint="eastAsia"/>
          <w:b/>
          <w:kern w:val="0"/>
          <w:sz w:val="36"/>
          <w:szCs w:val="36"/>
        </w:rPr>
        <w:t>目 录</w:t>
      </w:r>
    </w:p>
    <w:p w:rsidR="008853A8" w:rsidRDefault="00E05B2C">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sidR="008853A8">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8853A8">
          <w:rPr>
            <w:rFonts w:ascii="仿宋_GB2312" w:eastAsia="仿宋_GB2312" w:hAnsi="仿宋_GB2312" w:cs="仿宋_GB2312" w:hint="eastAsia"/>
            <w:b/>
            <w:bCs/>
            <w:sz w:val="32"/>
            <w:szCs w:val="32"/>
          </w:rPr>
          <w:t>第一部分 部门单位概况</w:t>
        </w:r>
      </w:hyperlink>
    </w:p>
    <w:p w:rsidR="008853A8" w:rsidRDefault="00E05B2C">
      <w:pPr>
        <w:pStyle w:val="2"/>
        <w:tabs>
          <w:tab w:val="right" w:pos="8306"/>
        </w:tabs>
        <w:ind w:leftChars="0" w:left="0"/>
        <w:rPr>
          <w:rFonts w:ascii="仿宋_GB2312" w:eastAsia="仿宋_GB2312" w:hAnsi="仿宋_GB2312" w:cs="仿宋_GB2312"/>
          <w:sz w:val="32"/>
          <w:szCs w:val="32"/>
        </w:rPr>
      </w:pPr>
      <w:hyperlink w:anchor="_Toc30567" w:history="1">
        <w:r w:rsidR="008853A8">
          <w:rPr>
            <w:rFonts w:ascii="仿宋_GB2312" w:eastAsia="仿宋_GB2312" w:hAnsi="仿宋_GB2312" w:cs="仿宋_GB2312" w:hint="eastAsia"/>
            <w:bCs/>
            <w:kern w:val="0"/>
            <w:sz w:val="32"/>
            <w:szCs w:val="32"/>
          </w:rPr>
          <w:t>一、主要职能</w:t>
        </w:r>
      </w:hyperlink>
    </w:p>
    <w:p w:rsidR="008853A8" w:rsidRDefault="00E05B2C">
      <w:pPr>
        <w:pStyle w:val="2"/>
        <w:tabs>
          <w:tab w:val="right" w:pos="8306"/>
        </w:tabs>
        <w:ind w:leftChars="0" w:left="0"/>
        <w:rPr>
          <w:rFonts w:ascii="仿宋_GB2312" w:eastAsia="仿宋_GB2312" w:hAnsi="仿宋_GB2312" w:cs="仿宋_GB2312"/>
          <w:sz w:val="32"/>
          <w:szCs w:val="32"/>
        </w:rPr>
      </w:pPr>
      <w:hyperlink w:anchor="_Toc2151" w:history="1">
        <w:r w:rsidR="008853A8">
          <w:rPr>
            <w:rFonts w:ascii="仿宋_GB2312" w:eastAsia="仿宋_GB2312" w:hAnsi="仿宋_GB2312" w:cs="仿宋_GB2312" w:hint="eastAsia"/>
            <w:bCs/>
            <w:kern w:val="0"/>
            <w:sz w:val="32"/>
            <w:szCs w:val="32"/>
          </w:rPr>
          <w:t>二、机构设置及人员情况</w:t>
        </w:r>
      </w:hyperlink>
    </w:p>
    <w:p w:rsidR="008853A8" w:rsidRDefault="00E05B2C">
      <w:pPr>
        <w:pStyle w:val="1"/>
        <w:tabs>
          <w:tab w:val="right" w:pos="8306"/>
        </w:tabs>
        <w:rPr>
          <w:rFonts w:ascii="仿宋_GB2312" w:eastAsia="仿宋_GB2312" w:hAnsi="仿宋_GB2312" w:cs="仿宋_GB2312"/>
          <w:b/>
          <w:bCs/>
          <w:sz w:val="32"/>
          <w:szCs w:val="32"/>
        </w:rPr>
      </w:pPr>
      <w:hyperlink w:anchor="_Toc29374" w:history="1">
        <w:r w:rsidR="008853A8">
          <w:rPr>
            <w:rFonts w:ascii="仿宋_GB2312" w:eastAsia="仿宋_GB2312" w:hAnsi="仿宋_GB2312" w:cs="仿宋_GB2312" w:hint="eastAsia"/>
            <w:b/>
            <w:bCs/>
            <w:sz w:val="32"/>
            <w:szCs w:val="32"/>
          </w:rPr>
          <w:t>第二部分 部门决算情况说明</w:t>
        </w:r>
      </w:hyperlink>
    </w:p>
    <w:p w:rsidR="008853A8" w:rsidRDefault="00E05B2C">
      <w:pPr>
        <w:pStyle w:val="2"/>
        <w:tabs>
          <w:tab w:val="right" w:pos="8306"/>
        </w:tabs>
        <w:ind w:leftChars="0" w:left="0"/>
        <w:rPr>
          <w:rFonts w:ascii="仿宋_GB2312" w:eastAsia="仿宋_GB2312" w:hAnsi="仿宋_GB2312" w:cs="仿宋_GB2312"/>
          <w:sz w:val="32"/>
          <w:szCs w:val="32"/>
        </w:rPr>
      </w:pPr>
      <w:hyperlink w:anchor="_Toc25314" w:history="1">
        <w:r w:rsidR="008853A8">
          <w:rPr>
            <w:rFonts w:ascii="仿宋_GB2312" w:eastAsia="仿宋_GB2312" w:hAnsi="仿宋_GB2312" w:cs="仿宋_GB2312" w:hint="eastAsia"/>
            <w:bCs/>
            <w:kern w:val="0"/>
            <w:sz w:val="32"/>
            <w:szCs w:val="32"/>
          </w:rPr>
          <w:t>一、收入支出决算总体情况说明</w:t>
        </w:r>
      </w:hyperlink>
    </w:p>
    <w:p w:rsidR="008853A8" w:rsidRDefault="00E05B2C">
      <w:pPr>
        <w:pStyle w:val="2"/>
        <w:tabs>
          <w:tab w:val="right" w:pos="8306"/>
        </w:tabs>
        <w:ind w:leftChars="0" w:left="0"/>
        <w:rPr>
          <w:rFonts w:ascii="仿宋_GB2312" w:eastAsia="仿宋_GB2312" w:hAnsi="仿宋_GB2312" w:cs="仿宋_GB2312"/>
          <w:sz w:val="32"/>
          <w:szCs w:val="32"/>
        </w:rPr>
      </w:pPr>
      <w:hyperlink w:anchor="_Toc12142" w:history="1">
        <w:r w:rsidR="008853A8">
          <w:rPr>
            <w:rFonts w:ascii="仿宋_GB2312" w:eastAsia="仿宋_GB2312" w:hAnsi="仿宋_GB2312" w:cs="仿宋_GB2312" w:hint="eastAsia"/>
            <w:bCs/>
            <w:kern w:val="0"/>
            <w:sz w:val="32"/>
            <w:szCs w:val="32"/>
          </w:rPr>
          <w:t>二、收入决算情况说明</w:t>
        </w:r>
      </w:hyperlink>
    </w:p>
    <w:p w:rsidR="008853A8" w:rsidRDefault="00E05B2C">
      <w:pPr>
        <w:pStyle w:val="2"/>
        <w:tabs>
          <w:tab w:val="right" w:pos="8306"/>
        </w:tabs>
        <w:ind w:leftChars="0" w:left="0"/>
        <w:rPr>
          <w:rFonts w:ascii="仿宋_GB2312" w:eastAsia="仿宋_GB2312" w:hAnsi="仿宋_GB2312" w:cs="仿宋_GB2312"/>
          <w:sz w:val="32"/>
          <w:szCs w:val="32"/>
        </w:rPr>
      </w:pPr>
      <w:hyperlink w:anchor="_Toc13201" w:history="1">
        <w:r w:rsidR="008853A8">
          <w:rPr>
            <w:rFonts w:ascii="仿宋_GB2312" w:eastAsia="仿宋_GB2312" w:hAnsi="仿宋_GB2312" w:cs="仿宋_GB2312" w:hint="eastAsia"/>
            <w:bCs/>
            <w:kern w:val="0"/>
            <w:sz w:val="32"/>
            <w:szCs w:val="32"/>
          </w:rPr>
          <w:t>三、支出决算情况说明</w:t>
        </w:r>
      </w:hyperlink>
    </w:p>
    <w:p w:rsidR="008853A8" w:rsidRDefault="00E05B2C">
      <w:pPr>
        <w:pStyle w:val="2"/>
        <w:tabs>
          <w:tab w:val="right" w:pos="8306"/>
        </w:tabs>
        <w:ind w:leftChars="0" w:left="0"/>
        <w:rPr>
          <w:rFonts w:ascii="仿宋_GB2312" w:eastAsia="仿宋_GB2312" w:hAnsi="仿宋_GB2312" w:cs="仿宋_GB2312"/>
          <w:sz w:val="32"/>
          <w:szCs w:val="32"/>
        </w:rPr>
      </w:pPr>
      <w:hyperlink w:anchor="_Toc26564" w:history="1">
        <w:r w:rsidR="008853A8">
          <w:rPr>
            <w:rFonts w:ascii="仿宋_GB2312" w:eastAsia="仿宋_GB2312" w:hAnsi="仿宋_GB2312" w:cs="仿宋_GB2312" w:hint="eastAsia"/>
            <w:bCs/>
            <w:kern w:val="0"/>
            <w:sz w:val="32"/>
            <w:szCs w:val="32"/>
          </w:rPr>
          <w:t>四、财政拨款收入支出决算总体情况说明</w:t>
        </w:r>
      </w:hyperlink>
    </w:p>
    <w:p w:rsidR="008853A8" w:rsidRDefault="00E05B2C">
      <w:pPr>
        <w:pStyle w:val="2"/>
        <w:tabs>
          <w:tab w:val="right" w:pos="8306"/>
        </w:tabs>
        <w:ind w:leftChars="0" w:left="0"/>
        <w:rPr>
          <w:rFonts w:ascii="仿宋_GB2312" w:eastAsia="仿宋_GB2312" w:hAnsi="仿宋_GB2312" w:cs="仿宋_GB2312"/>
          <w:sz w:val="32"/>
          <w:szCs w:val="32"/>
        </w:rPr>
      </w:pPr>
      <w:hyperlink w:anchor="_Toc20360" w:history="1">
        <w:r w:rsidR="008853A8">
          <w:rPr>
            <w:rFonts w:ascii="仿宋_GB2312" w:eastAsia="仿宋_GB2312" w:hAnsi="仿宋_GB2312" w:cs="仿宋_GB2312" w:hint="eastAsia"/>
            <w:bCs/>
            <w:kern w:val="0"/>
            <w:sz w:val="32"/>
            <w:szCs w:val="32"/>
          </w:rPr>
          <w:t>五、一般公共预算财政拨款支出决算情况说明</w:t>
        </w:r>
      </w:hyperlink>
    </w:p>
    <w:p w:rsidR="008853A8" w:rsidRDefault="00E05B2C">
      <w:pPr>
        <w:pStyle w:val="2"/>
        <w:tabs>
          <w:tab w:val="right" w:pos="8306"/>
        </w:tabs>
        <w:ind w:leftChars="0" w:left="0"/>
        <w:rPr>
          <w:rFonts w:ascii="仿宋_GB2312" w:eastAsia="仿宋_GB2312" w:hAnsi="仿宋_GB2312" w:cs="仿宋_GB2312"/>
          <w:sz w:val="32"/>
          <w:szCs w:val="32"/>
        </w:rPr>
      </w:pPr>
      <w:hyperlink w:anchor="_Toc30870" w:history="1">
        <w:r w:rsidR="008853A8">
          <w:rPr>
            <w:rFonts w:ascii="仿宋_GB2312" w:eastAsia="仿宋_GB2312" w:hAnsi="仿宋_GB2312" w:cs="仿宋_GB2312" w:hint="eastAsia"/>
            <w:bCs/>
            <w:kern w:val="0"/>
            <w:sz w:val="32"/>
            <w:szCs w:val="32"/>
          </w:rPr>
          <w:t>六、一般公共预算财政拨款基本支出决算情况说明</w:t>
        </w:r>
      </w:hyperlink>
    </w:p>
    <w:p w:rsidR="008853A8" w:rsidRDefault="00E05B2C">
      <w:pPr>
        <w:pStyle w:val="2"/>
        <w:tabs>
          <w:tab w:val="right" w:pos="8306"/>
        </w:tabs>
        <w:ind w:leftChars="0" w:left="0"/>
        <w:rPr>
          <w:rFonts w:ascii="仿宋_GB2312" w:eastAsia="仿宋_GB2312" w:hAnsi="仿宋_GB2312" w:cs="仿宋_GB2312"/>
          <w:sz w:val="32"/>
          <w:szCs w:val="32"/>
        </w:rPr>
      </w:pPr>
      <w:hyperlink w:anchor="_Toc21518" w:history="1">
        <w:r w:rsidR="008853A8">
          <w:rPr>
            <w:rFonts w:ascii="仿宋_GB2312" w:eastAsia="仿宋_GB2312" w:hAnsi="仿宋_GB2312" w:cs="仿宋_GB2312" w:hint="eastAsia"/>
            <w:bCs/>
            <w:kern w:val="0"/>
            <w:sz w:val="32"/>
            <w:szCs w:val="32"/>
          </w:rPr>
          <w:t>七、一般公共预算财政拨款“三公”经费支出决算情况说明</w:t>
        </w:r>
      </w:hyperlink>
    </w:p>
    <w:p w:rsidR="008853A8" w:rsidRDefault="00E05B2C">
      <w:pPr>
        <w:pStyle w:val="2"/>
        <w:tabs>
          <w:tab w:val="right" w:pos="8306"/>
        </w:tabs>
        <w:ind w:leftChars="0" w:left="0"/>
        <w:rPr>
          <w:rFonts w:ascii="仿宋_GB2312" w:eastAsia="仿宋_GB2312" w:hAnsi="仿宋_GB2312" w:cs="仿宋_GB2312"/>
          <w:sz w:val="32"/>
          <w:szCs w:val="32"/>
        </w:rPr>
      </w:pPr>
      <w:hyperlink w:anchor="_Toc5810" w:history="1">
        <w:r w:rsidR="008853A8">
          <w:rPr>
            <w:rFonts w:ascii="仿宋_GB2312" w:eastAsia="仿宋_GB2312" w:hAnsi="仿宋_GB2312" w:cs="仿宋_GB2312" w:hint="eastAsia"/>
            <w:bCs/>
            <w:kern w:val="0"/>
            <w:sz w:val="32"/>
            <w:szCs w:val="32"/>
          </w:rPr>
          <w:t>八、政府性基金预算收入支出决算情况说明</w:t>
        </w:r>
      </w:hyperlink>
    </w:p>
    <w:p w:rsidR="008853A8" w:rsidRDefault="00E05B2C">
      <w:pPr>
        <w:pStyle w:val="2"/>
        <w:tabs>
          <w:tab w:val="right" w:pos="8306"/>
        </w:tabs>
        <w:ind w:leftChars="0" w:left="0"/>
        <w:rPr>
          <w:rFonts w:ascii="仿宋_GB2312" w:eastAsia="仿宋_GB2312" w:hAnsi="仿宋_GB2312" w:cs="仿宋_GB2312"/>
          <w:sz w:val="32"/>
          <w:szCs w:val="32"/>
        </w:rPr>
      </w:pPr>
      <w:hyperlink w:anchor="_Toc1235" w:history="1">
        <w:r w:rsidR="008853A8">
          <w:rPr>
            <w:rFonts w:ascii="仿宋_GB2312" w:eastAsia="仿宋_GB2312" w:hAnsi="仿宋_GB2312" w:cs="仿宋_GB2312" w:hint="eastAsia"/>
            <w:bCs/>
            <w:kern w:val="0"/>
            <w:sz w:val="32"/>
            <w:szCs w:val="32"/>
          </w:rPr>
          <w:t>九、其他重要事项的情况说明</w:t>
        </w:r>
      </w:hyperlink>
    </w:p>
    <w:p w:rsidR="008853A8" w:rsidRDefault="00E05B2C">
      <w:pPr>
        <w:pStyle w:val="3"/>
        <w:tabs>
          <w:tab w:val="right" w:pos="8306"/>
        </w:tabs>
        <w:ind w:leftChars="0" w:left="0"/>
        <w:rPr>
          <w:rFonts w:ascii="仿宋_GB2312" w:eastAsia="仿宋_GB2312" w:hAnsi="仿宋_GB2312" w:cs="仿宋_GB2312"/>
          <w:sz w:val="32"/>
          <w:szCs w:val="32"/>
        </w:rPr>
      </w:pPr>
      <w:hyperlink w:anchor="_Toc14519" w:history="1">
        <w:r w:rsidR="008853A8">
          <w:rPr>
            <w:rFonts w:ascii="仿宋_GB2312" w:eastAsia="仿宋_GB2312" w:hAnsi="仿宋_GB2312" w:cs="仿宋_GB2312" w:hint="eastAsia"/>
            <w:sz w:val="32"/>
            <w:szCs w:val="32"/>
          </w:rPr>
          <w:t>（一）机关运行经费支出情况</w:t>
        </w:r>
      </w:hyperlink>
    </w:p>
    <w:p w:rsidR="008853A8" w:rsidRDefault="00E05B2C">
      <w:pPr>
        <w:pStyle w:val="3"/>
        <w:tabs>
          <w:tab w:val="right" w:pos="8306"/>
        </w:tabs>
        <w:ind w:leftChars="0" w:left="0"/>
        <w:rPr>
          <w:rFonts w:ascii="仿宋_GB2312" w:eastAsia="仿宋_GB2312" w:hAnsi="仿宋_GB2312" w:cs="仿宋_GB2312"/>
          <w:sz w:val="32"/>
          <w:szCs w:val="32"/>
        </w:rPr>
      </w:pPr>
      <w:hyperlink w:anchor="_Toc227" w:history="1">
        <w:r w:rsidR="008853A8">
          <w:rPr>
            <w:rFonts w:ascii="仿宋_GB2312" w:eastAsia="仿宋_GB2312" w:hAnsi="仿宋_GB2312" w:cs="仿宋_GB2312" w:hint="eastAsia"/>
            <w:sz w:val="32"/>
            <w:szCs w:val="32"/>
          </w:rPr>
          <w:t>（二）政府采购情况</w:t>
        </w:r>
      </w:hyperlink>
    </w:p>
    <w:p w:rsidR="008853A8" w:rsidRDefault="00E05B2C">
      <w:pPr>
        <w:pStyle w:val="3"/>
        <w:tabs>
          <w:tab w:val="right" w:pos="8306"/>
        </w:tabs>
        <w:ind w:leftChars="0" w:left="0"/>
        <w:rPr>
          <w:rFonts w:ascii="仿宋_GB2312" w:eastAsia="仿宋_GB2312" w:hAnsi="仿宋_GB2312" w:cs="仿宋_GB2312"/>
          <w:sz w:val="32"/>
          <w:szCs w:val="32"/>
        </w:rPr>
      </w:pPr>
      <w:hyperlink w:anchor="_Toc8391" w:history="1">
        <w:r w:rsidR="008853A8">
          <w:rPr>
            <w:rFonts w:ascii="仿宋_GB2312" w:eastAsia="仿宋_GB2312" w:hAnsi="仿宋_GB2312" w:cs="仿宋_GB2312" w:hint="eastAsia"/>
            <w:sz w:val="32"/>
            <w:szCs w:val="32"/>
          </w:rPr>
          <w:t>（三）国有资产占用情况说明</w:t>
        </w:r>
      </w:hyperlink>
    </w:p>
    <w:p w:rsidR="008853A8" w:rsidRDefault="00E05B2C">
      <w:pPr>
        <w:pStyle w:val="2"/>
        <w:tabs>
          <w:tab w:val="right" w:pos="8306"/>
        </w:tabs>
        <w:ind w:leftChars="0" w:left="0"/>
        <w:rPr>
          <w:rFonts w:ascii="仿宋_GB2312" w:eastAsia="仿宋_GB2312" w:hAnsi="仿宋_GB2312" w:cs="仿宋_GB2312"/>
          <w:sz w:val="32"/>
          <w:szCs w:val="32"/>
        </w:rPr>
      </w:pPr>
      <w:hyperlink w:anchor="_Toc11283" w:history="1">
        <w:r w:rsidR="008853A8">
          <w:rPr>
            <w:rFonts w:ascii="仿宋_GB2312" w:eastAsia="仿宋_GB2312" w:hAnsi="仿宋_GB2312" w:cs="仿宋_GB2312" w:hint="eastAsia"/>
            <w:bCs/>
            <w:kern w:val="0"/>
            <w:sz w:val="32"/>
            <w:szCs w:val="32"/>
          </w:rPr>
          <w:t>十、预算绩效的情况说明</w:t>
        </w:r>
      </w:hyperlink>
    </w:p>
    <w:p w:rsidR="008853A8" w:rsidRDefault="00E05B2C">
      <w:pPr>
        <w:pStyle w:val="1"/>
        <w:tabs>
          <w:tab w:val="right" w:pos="8306"/>
        </w:tabs>
        <w:rPr>
          <w:rFonts w:ascii="仿宋_GB2312" w:eastAsia="仿宋_GB2312" w:hAnsi="仿宋_GB2312" w:cs="仿宋_GB2312"/>
          <w:b/>
          <w:bCs/>
          <w:sz w:val="32"/>
          <w:szCs w:val="32"/>
        </w:rPr>
      </w:pPr>
      <w:hyperlink w:anchor="_Toc3250" w:history="1">
        <w:r w:rsidR="008853A8">
          <w:rPr>
            <w:rFonts w:ascii="仿宋_GB2312" w:eastAsia="仿宋_GB2312" w:hAnsi="仿宋_GB2312" w:cs="仿宋_GB2312" w:hint="eastAsia"/>
            <w:b/>
            <w:bCs/>
            <w:sz w:val="32"/>
            <w:szCs w:val="32"/>
          </w:rPr>
          <w:t>第三部分 专业名词解释</w:t>
        </w:r>
      </w:hyperlink>
    </w:p>
    <w:p w:rsidR="008853A8" w:rsidRDefault="00E05B2C">
      <w:pPr>
        <w:pStyle w:val="1"/>
        <w:tabs>
          <w:tab w:val="right" w:pos="8306"/>
        </w:tabs>
        <w:rPr>
          <w:rFonts w:ascii="仿宋_GB2312" w:eastAsia="仿宋_GB2312" w:hAnsi="仿宋_GB2312" w:cs="仿宋_GB2312"/>
          <w:b/>
          <w:bCs/>
          <w:sz w:val="32"/>
          <w:szCs w:val="32"/>
        </w:rPr>
      </w:pPr>
      <w:hyperlink w:anchor="_Toc22784" w:history="1">
        <w:r w:rsidR="008853A8">
          <w:rPr>
            <w:rFonts w:ascii="仿宋_GB2312" w:eastAsia="仿宋_GB2312" w:hAnsi="仿宋_GB2312" w:cs="仿宋_GB2312" w:hint="eastAsia"/>
            <w:b/>
            <w:bCs/>
            <w:sz w:val="32"/>
            <w:szCs w:val="32"/>
          </w:rPr>
          <w:t>第四部分 部门决算报表（见附表）</w:t>
        </w:r>
      </w:hyperlink>
    </w:p>
    <w:p w:rsidR="008853A8" w:rsidRDefault="00E05B2C">
      <w:pPr>
        <w:pStyle w:val="2"/>
        <w:tabs>
          <w:tab w:val="right" w:pos="8306"/>
        </w:tabs>
        <w:ind w:leftChars="0" w:left="0"/>
        <w:rPr>
          <w:rFonts w:ascii="仿宋_GB2312" w:eastAsia="仿宋_GB2312" w:hAnsi="仿宋_GB2312" w:cs="仿宋_GB2312"/>
          <w:sz w:val="32"/>
          <w:szCs w:val="32"/>
        </w:rPr>
      </w:pPr>
      <w:hyperlink w:anchor="_Toc2183" w:history="1">
        <w:r w:rsidR="008853A8">
          <w:rPr>
            <w:rFonts w:ascii="仿宋_GB2312" w:eastAsia="仿宋_GB2312" w:hAnsi="仿宋_GB2312" w:cs="仿宋_GB2312" w:hint="eastAsia"/>
            <w:bCs/>
            <w:kern w:val="0"/>
            <w:sz w:val="32"/>
            <w:szCs w:val="32"/>
          </w:rPr>
          <w:t>一、《收入支出决算总表》</w:t>
        </w:r>
      </w:hyperlink>
    </w:p>
    <w:p w:rsidR="008853A8" w:rsidRDefault="00E05B2C">
      <w:pPr>
        <w:pStyle w:val="2"/>
        <w:tabs>
          <w:tab w:val="right" w:pos="8306"/>
        </w:tabs>
        <w:ind w:leftChars="0" w:left="0"/>
        <w:rPr>
          <w:rFonts w:ascii="仿宋_GB2312" w:eastAsia="仿宋_GB2312" w:hAnsi="仿宋_GB2312" w:cs="仿宋_GB2312"/>
          <w:sz w:val="32"/>
          <w:szCs w:val="32"/>
        </w:rPr>
      </w:pPr>
      <w:hyperlink w:anchor="_Toc24532" w:history="1">
        <w:r w:rsidR="008853A8">
          <w:rPr>
            <w:rFonts w:ascii="仿宋_GB2312" w:eastAsia="仿宋_GB2312" w:hAnsi="仿宋_GB2312" w:cs="仿宋_GB2312" w:hint="eastAsia"/>
            <w:bCs/>
            <w:kern w:val="0"/>
            <w:sz w:val="32"/>
            <w:szCs w:val="32"/>
          </w:rPr>
          <w:t>二、《收入决算表》</w:t>
        </w:r>
      </w:hyperlink>
    </w:p>
    <w:p w:rsidR="008853A8" w:rsidRDefault="00E05B2C">
      <w:pPr>
        <w:pStyle w:val="2"/>
        <w:tabs>
          <w:tab w:val="right" w:pos="8306"/>
        </w:tabs>
        <w:ind w:leftChars="0" w:left="0"/>
        <w:rPr>
          <w:rFonts w:ascii="仿宋_GB2312" w:eastAsia="仿宋_GB2312" w:hAnsi="仿宋_GB2312" w:cs="仿宋_GB2312"/>
          <w:sz w:val="32"/>
          <w:szCs w:val="32"/>
        </w:rPr>
      </w:pPr>
      <w:hyperlink w:anchor="_Toc32434" w:history="1">
        <w:r w:rsidR="008853A8">
          <w:rPr>
            <w:rFonts w:ascii="仿宋_GB2312" w:eastAsia="仿宋_GB2312" w:hAnsi="仿宋_GB2312" w:cs="仿宋_GB2312" w:hint="eastAsia"/>
            <w:bCs/>
            <w:kern w:val="0"/>
            <w:sz w:val="32"/>
            <w:szCs w:val="32"/>
          </w:rPr>
          <w:t>三、《支出决算表》</w:t>
        </w:r>
      </w:hyperlink>
    </w:p>
    <w:p w:rsidR="008853A8" w:rsidRDefault="00E05B2C">
      <w:pPr>
        <w:pStyle w:val="2"/>
        <w:tabs>
          <w:tab w:val="right" w:pos="8306"/>
        </w:tabs>
        <w:ind w:leftChars="0" w:left="0"/>
        <w:rPr>
          <w:rFonts w:ascii="仿宋_GB2312" w:eastAsia="仿宋_GB2312" w:hAnsi="仿宋_GB2312" w:cs="仿宋_GB2312"/>
          <w:sz w:val="32"/>
          <w:szCs w:val="32"/>
        </w:rPr>
      </w:pPr>
      <w:hyperlink w:anchor="_Toc28786" w:history="1">
        <w:r w:rsidR="008853A8">
          <w:rPr>
            <w:rFonts w:ascii="仿宋_GB2312" w:eastAsia="仿宋_GB2312" w:hAnsi="仿宋_GB2312" w:cs="仿宋_GB2312" w:hint="eastAsia"/>
            <w:bCs/>
            <w:kern w:val="0"/>
            <w:sz w:val="32"/>
            <w:szCs w:val="32"/>
          </w:rPr>
          <w:t>四、《财政拨款收入支出决算总表》</w:t>
        </w:r>
      </w:hyperlink>
    </w:p>
    <w:p w:rsidR="008853A8" w:rsidRDefault="00E05B2C">
      <w:pPr>
        <w:pStyle w:val="2"/>
        <w:tabs>
          <w:tab w:val="right" w:pos="8306"/>
        </w:tabs>
        <w:ind w:leftChars="0" w:left="0"/>
        <w:rPr>
          <w:rFonts w:ascii="仿宋_GB2312" w:eastAsia="仿宋_GB2312" w:hAnsi="仿宋_GB2312" w:cs="仿宋_GB2312"/>
          <w:sz w:val="32"/>
          <w:szCs w:val="32"/>
        </w:rPr>
      </w:pPr>
      <w:hyperlink w:anchor="_Toc14869" w:history="1">
        <w:r w:rsidR="008853A8">
          <w:rPr>
            <w:rFonts w:ascii="仿宋_GB2312" w:eastAsia="仿宋_GB2312" w:hAnsi="仿宋_GB2312" w:cs="仿宋_GB2312" w:hint="eastAsia"/>
            <w:bCs/>
            <w:kern w:val="0"/>
            <w:sz w:val="32"/>
            <w:szCs w:val="32"/>
          </w:rPr>
          <w:t>五、《一般公共预算财政拨款支出决算表》</w:t>
        </w:r>
      </w:hyperlink>
    </w:p>
    <w:p w:rsidR="008853A8" w:rsidRDefault="00E05B2C">
      <w:pPr>
        <w:pStyle w:val="2"/>
        <w:tabs>
          <w:tab w:val="right" w:pos="8306"/>
        </w:tabs>
        <w:ind w:leftChars="0" w:left="0"/>
        <w:rPr>
          <w:rFonts w:ascii="仿宋_GB2312" w:eastAsia="仿宋_GB2312" w:hAnsi="仿宋_GB2312" w:cs="仿宋_GB2312"/>
          <w:sz w:val="32"/>
          <w:szCs w:val="32"/>
        </w:rPr>
      </w:pPr>
      <w:hyperlink w:anchor="_Toc8884" w:history="1">
        <w:r w:rsidR="008853A8">
          <w:rPr>
            <w:rFonts w:ascii="仿宋_GB2312" w:eastAsia="仿宋_GB2312" w:hAnsi="仿宋_GB2312" w:cs="仿宋_GB2312" w:hint="eastAsia"/>
            <w:bCs/>
            <w:kern w:val="0"/>
            <w:sz w:val="32"/>
            <w:szCs w:val="32"/>
          </w:rPr>
          <w:t>六、《一般公共预算财政拨款基本支出决算表》</w:t>
        </w:r>
      </w:hyperlink>
    </w:p>
    <w:p w:rsidR="008853A8" w:rsidRDefault="00E05B2C">
      <w:pPr>
        <w:pStyle w:val="2"/>
        <w:tabs>
          <w:tab w:val="right" w:pos="8306"/>
        </w:tabs>
        <w:ind w:leftChars="0" w:left="0"/>
        <w:rPr>
          <w:rFonts w:ascii="仿宋_GB2312" w:eastAsia="仿宋_GB2312" w:hAnsi="仿宋_GB2312" w:cs="仿宋_GB2312"/>
          <w:sz w:val="32"/>
          <w:szCs w:val="32"/>
        </w:rPr>
      </w:pPr>
      <w:hyperlink w:anchor="_Toc29106" w:history="1">
        <w:r w:rsidR="008853A8">
          <w:rPr>
            <w:rFonts w:ascii="仿宋_GB2312" w:eastAsia="仿宋_GB2312" w:hAnsi="仿宋_GB2312" w:cs="仿宋_GB2312" w:hint="eastAsia"/>
            <w:bCs/>
            <w:kern w:val="0"/>
            <w:sz w:val="32"/>
            <w:szCs w:val="32"/>
          </w:rPr>
          <w:t>七、《一般公共预算财政拨款“三公”经费支出决算表》</w:t>
        </w:r>
      </w:hyperlink>
    </w:p>
    <w:p w:rsidR="008853A8" w:rsidRDefault="00E05B2C">
      <w:pPr>
        <w:pStyle w:val="2"/>
        <w:tabs>
          <w:tab w:val="right" w:pos="8306"/>
        </w:tabs>
        <w:ind w:leftChars="0" w:left="0"/>
        <w:rPr>
          <w:rFonts w:ascii="仿宋_GB2312" w:eastAsia="仿宋_GB2312" w:hAnsi="仿宋_GB2312" w:cs="仿宋_GB2312"/>
          <w:sz w:val="32"/>
          <w:szCs w:val="32"/>
        </w:rPr>
      </w:pPr>
      <w:hyperlink w:anchor="_Toc7643" w:history="1">
        <w:r w:rsidR="008853A8">
          <w:rPr>
            <w:rFonts w:ascii="仿宋_GB2312" w:eastAsia="仿宋_GB2312" w:hAnsi="仿宋_GB2312" w:cs="仿宋_GB2312" w:hint="eastAsia"/>
            <w:bCs/>
            <w:kern w:val="0"/>
            <w:sz w:val="32"/>
            <w:szCs w:val="32"/>
          </w:rPr>
          <w:t>八、《政府性基金预算财政拨款收入支出决算表》</w:t>
        </w:r>
      </w:hyperlink>
    </w:p>
    <w:p w:rsidR="008853A8" w:rsidRDefault="00E05B2C">
      <w:r>
        <w:rPr>
          <w:rFonts w:ascii="仿宋_GB2312" w:eastAsia="仿宋_GB2312" w:hAnsi="仿宋_GB2312" w:cs="仿宋_GB2312" w:hint="eastAsia"/>
          <w:sz w:val="32"/>
          <w:szCs w:val="32"/>
        </w:rPr>
        <w:fldChar w:fldCharType="end"/>
      </w:r>
    </w:p>
    <w:p w:rsidR="008853A8" w:rsidRDefault="008853A8">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bookmarkStart w:id="0" w:name="_Toc24028"/>
      <w:bookmarkStart w:id="1" w:name="_Toc32314"/>
      <w:r>
        <w:rPr>
          <w:rFonts w:ascii="黑体" w:eastAsia="黑体" w:hAnsi="黑体" w:hint="eastAsia"/>
          <w:sz w:val="32"/>
          <w:szCs w:val="32"/>
        </w:rPr>
        <w:t>第一部分 部门单位概况</w:t>
      </w:r>
      <w:bookmarkEnd w:id="0"/>
      <w:bookmarkEnd w:id="1"/>
    </w:p>
    <w:p w:rsidR="008853A8" w:rsidRDefault="008853A8">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E05B2C" w:rsidRDefault="007C5ABD">
      <w:pPr>
        <w:ind w:firstLine="480"/>
      </w:pPr>
      <w:r>
        <w:rPr>
          <w:rFonts w:ascii="仿宋_GB2312" w:eastAsia="仿宋_GB2312" w:hAnsi="仿宋_GB2312" w:cs="仿宋_GB2312"/>
          <w:sz w:val="32"/>
        </w:rPr>
        <w:t>1</w:t>
      </w:r>
      <w:r>
        <w:rPr>
          <w:rFonts w:ascii="仿宋_GB2312" w:eastAsia="仿宋_GB2312" w:hAnsi="仿宋_GB2312" w:cs="仿宋_GB2312"/>
          <w:sz w:val="32"/>
        </w:rPr>
        <w:t>、贯彻执行中央、自治区、地区有关科技工作的方针、政策、法律、法规。组织制定本县科技发展战略、县域创新体系建设、高新技术产业化、重大科技专项、科技成果转化和科技促进经济发展与社会进步的政策。承担麦盖提县科技兴县领导小组办公室的职能，协调县直有关部门强化实施</w:t>
      </w:r>
      <w:r>
        <w:rPr>
          <w:rFonts w:ascii="仿宋_GB2312" w:eastAsia="仿宋_GB2312" w:hAnsi="仿宋_GB2312" w:cs="仿宋_GB2312"/>
          <w:sz w:val="32"/>
        </w:rPr>
        <w:t>“</w:t>
      </w:r>
      <w:r>
        <w:rPr>
          <w:rFonts w:ascii="仿宋_GB2312" w:eastAsia="仿宋_GB2312" w:hAnsi="仿宋_GB2312" w:cs="仿宋_GB2312"/>
          <w:sz w:val="32"/>
        </w:rPr>
        <w:t>科技兴县</w:t>
      </w:r>
      <w:r>
        <w:rPr>
          <w:rFonts w:ascii="仿宋_GB2312" w:eastAsia="仿宋_GB2312" w:hAnsi="仿宋_GB2312" w:cs="仿宋_GB2312"/>
          <w:sz w:val="32"/>
        </w:rPr>
        <w:t>”</w:t>
      </w:r>
      <w:r>
        <w:rPr>
          <w:rFonts w:ascii="仿宋_GB2312" w:eastAsia="仿宋_GB2312" w:hAnsi="仿宋_GB2312" w:cs="仿宋_GB2312"/>
          <w:sz w:val="32"/>
        </w:rPr>
        <w:t>战略，指导乡（镇）实施</w:t>
      </w:r>
      <w:r>
        <w:rPr>
          <w:rFonts w:ascii="仿宋_GB2312" w:eastAsia="仿宋_GB2312" w:hAnsi="仿宋_GB2312" w:cs="仿宋_GB2312"/>
          <w:sz w:val="32"/>
        </w:rPr>
        <w:t>“</w:t>
      </w:r>
      <w:r>
        <w:rPr>
          <w:rFonts w:ascii="仿宋_GB2312" w:eastAsia="仿宋_GB2312" w:hAnsi="仿宋_GB2312" w:cs="仿宋_GB2312"/>
          <w:sz w:val="32"/>
        </w:rPr>
        <w:t>科技兴乡（镇）</w:t>
      </w:r>
      <w:r>
        <w:rPr>
          <w:rFonts w:ascii="仿宋_GB2312" w:eastAsia="仿宋_GB2312" w:hAnsi="仿宋_GB2312" w:cs="仿宋_GB2312"/>
          <w:sz w:val="32"/>
        </w:rPr>
        <w:t>”</w:t>
      </w:r>
      <w:r>
        <w:rPr>
          <w:rFonts w:ascii="仿宋_GB2312" w:eastAsia="仿宋_GB2312" w:hAnsi="仿宋_GB2312" w:cs="仿宋_GB2312"/>
          <w:sz w:val="32"/>
        </w:rPr>
        <w:t>战略。</w:t>
      </w:r>
    </w:p>
    <w:p w:rsidR="00E05B2C" w:rsidRDefault="007C5ABD">
      <w:pPr>
        <w:ind w:firstLine="480"/>
      </w:pPr>
      <w:r>
        <w:rPr>
          <w:rFonts w:ascii="仿宋_GB2312" w:eastAsia="仿宋_GB2312" w:hAnsi="仿宋_GB2312" w:cs="仿宋_GB2312"/>
          <w:sz w:val="32"/>
        </w:rPr>
        <w:t>2</w:t>
      </w:r>
      <w:r>
        <w:rPr>
          <w:rFonts w:ascii="仿宋_GB2312" w:eastAsia="仿宋_GB2312" w:hAnsi="仿宋_GB2312" w:cs="仿宋_GB2312"/>
          <w:sz w:val="32"/>
        </w:rPr>
        <w:t>、编制麦盖提县科技发展的中长期规划和年度计划并组织实施，牵头实施本县经济与社会领域的基础研究和重大科</w:t>
      </w:r>
      <w:r>
        <w:rPr>
          <w:rFonts w:ascii="仿宋_GB2312" w:eastAsia="仿宋_GB2312" w:hAnsi="仿宋_GB2312" w:cs="仿宋_GB2312"/>
          <w:sz w:val="32"/>
        </w:rPr>
        <w:t>技攻关，负责县内外重大科技合作与交流的组织协调，管理国家、自治区、地区在本县境内实施的重大科技项目。</w:t>
      </w:r>
    </w:p>
    <w:p w:rsidR="00E05B2C" w:rsidRDefault="007C5ABD">
      <w:pPr>
        <w:ind w:firstLine="480"/>
      </w:pPr>
      <w:r>
        <w:rPr>
          <w:rFonts w:ascii="仿宋_GB2312" w:eastAsia="仿宋_GB2312" w:hAnsi="仿宋_GB2312" w:cs="仿宋_GB2312"/>
          <w:sz w:val="32"/>
        </w:rPr>
        <w:t>3</w:t>
      </w:r>
      <w:r>
        <w:rPr>
          <w:rFonts w:ascii="仿宋_GB2312" w:eastAsia="仿宋_GB2312" w:hAnsi="仿宋_GB2312" w:cs="仿宋_GB2312"/>
          <w:sz w:val="32"/>
        </w:rPr>
        <w:t>、负责本县科技进步奖、科技成果评审的组织工作，负责高新技术企业、科技型中小企业、科技中介机构、民办科研机构、技术市场的初审认定和监督管理工作。</w:t>
      </w:r>
    </w:p>
    <w:p w:rsidR="00E05B2C" w:rsidRDefault="007C5ABD">
      <w:pPr>
        <w:ind w:firstLine="480"/>
      </w:pPr>
      <w:r>
        <w:rPr>
          <w:rFonts w:ascii="仿宋_GB2312" w:eastAsia="仿宋_GB2312" w:hAnsi="仿宋_GB2312" w:cs="仿宋_GB2312"/>
          <w:sz w:val="32"/>
        </w:rPr>
        <w:t>4</w:t>
      </w:r>
      <w:r>
        <w:rPr>
          <w:rFonts w:ascii="仿宋_GB2312" w:eastAsia="仿宋_GB2312" w:hAnsi="仿宋_GB2312" w:cs="仿宋_GB2312"/>
          <w:sz w:val="32"/>
        </w:rPr>
        <w:t>、制定科技投入政策，提出合理配置科技经费的具体措施和管理办法，负责归口管理的科技管理经费、技术研究与开发经费（科技三项费）、科技条件与服务、科技合作与交流、科技重大专项资金和科技发展基金的管理和审计。</w:t>
      </w:r>
    </w:p>
    <w:p w:rsidR="00E05B2C" w:rsidRDefault="007C5ABD">
      <w:pPr>
        <w:ind w:firstLine="480"/>
      </w:pPr>
      <w:r>
        <w:rPr>
          <w:rFonts w:ascii="仿宋_GB2312" w:eastAsia="仿宋_GB2312" w:hAnsi="仿宋_GB2312" w:cs="仿宋_GB2312"/>
          <w:sz w:val="32"/>
        </w:rPr>
        <w:t>5</w:t>
      </w:r>
      <w:r>
        <w:rPr>
          <w:rFonts w:ascii="仿宋_GB2312" w:eastAsia="仿宋_GB2312" w:hAnsi="仿宋_GB2312" w:cs="仿宋_GB2312"/>
          <w:sz w:val="32"/>
        </w:rPr>
        <w:t>、会同有关部门编制本县人才发展规划，并提出相关政策建议，组</w:t>
      </w:r>
      <w:r>
        <w:rPr>
          <w:rFonts w:ascii="仿宋_GB2312" w:eastAsia="仿宋_GB2312" w:hAnsi="仿宋_GB2312" w:cs="仿宋_GB2312"/>
          <w:sz w:val="32"/>
        </w:rPr>
        <w:t>织开展科技管理干部、科技人才的培养和培训工作。</w:t>
      </w:r>
    </w:p>
    <w:p w:rsidR="00E05B2C" w:rsidRDefault="007C5ABD">
      <w:pPr>
        <w:ind w:firstLine="480"/>
      </w:pPr>
      <w:r>
        <w:rPr>
          <w:rFonts w:ascii="仿宋_GB2312" w:eastAsia="仿宋_GB2312" w:hAnsi="仿宋_GB2312" w:cs="仿宋_GB2312"/>
          <w:sz w:val="32"/>
        </w:rPr>
        <w:t>6</w:t>
      </w:r>
      <w:r>
        <w:rPr>
          <w:rFonts w:ascii="仿宋_GB2312" w:eastAsia="仿宋_GB2312" w:hAnsi="仿宋_GB2312" w:cs="仿宋_GB2312"/>
          <w:sz w:val="32"/>
        </w:rPr>
        <w:t>、组织开展自然科学、社会科学领域的科学技术研究，研究提出本县科技体制改革和重大措施建议，推进科技体制改革工作。协调本县科学技术普及工作，组织科技人员参与麦盖提县科技、经济、社会发展重大决策的研究、咨询活动。负责本县科技保密、科技信息、科技宣传、科技统计和科技评估等工作。</w:t>
      </w:r>
    </w:p>
    <w:p w:rsidR="00E05B2C" w:rsidRDefault="007C5ABD">
      <w:pPr>
        <w:ind w:firstLine="480"/>
      </w:pPr>
      <w:r>
        <w:rPr>
          <w:rFonts w:ascii="仿宋_GB2312" w:eastAsia="仿宋_GB2312" w:hAnsi="仿宋_GB2312" w:cs="仿宋_GB2312"/>
          <w:sz w:val="32"/>
        </w:rPr>
        <w:t>7</w:t>
      </w:r>
      <w:r>
        <w:rPr>
          <w:rFonts w:ascii="仿宋_GB2312" w:eastAsia="仿宋_GB2312" w:hAnsi="仿宋_GB2312" w:cs="仿宋_GB2312"/>
          <w:sz w:val="32"/>
        </w:rPr>
        <w:t>、承担麦盖提县科技特派员领导小组办公室职能，加强农村科技服务体系建设，促进以改善民生为重点的农村建设和社会建设。</w:t>
      </w:r>
    </w:p>
    <w:p w:rsidR="00E05B2C" w:rsidRDefault="007C5ABD">
      <w:pPr>
        <w:ind w:firstLine="480"/>
      </w:pPr>
      <w:r>
        <w:rPr>
          <w:rFonts w:ascii="仿宋_GB2312" w:eastAsia="仿宋_GB2312" w:hAnsi="仿宋_GB2312" w:cs="仿宋_GB2312"/>
          <w:sz w:val="32"/>
        </w:rPr>
        <w:t>8</w:t>
      </w:r>
      <w:r>
        <w:rPr>
          <w:rFonts w:ascii="仿宋_GB2312" w:eastAsia="仿宋_GB2312" w:hAnsi="仿宋_GB2312" w:cs="仿宋_GB2312"/>
          <w:sz w:val="32"/>
        </w:rPr>
        <w:t>、承担知识产权保护方面的工作任务，开展知识产权宣传工作，引导中小型企业开展科技创新工作，协助并指导企事业单位自觉维护知识产权，开展知识产权执法监察。承担地震监测、地震科普知识宣传、抗震救灾工作的指导。</w:t>
      </w:r>
    </w:p>
    <w:p w:rsidR="00E05B2C" w:rsidRDefault="007C5ABD">
      <w:pPr>
        <w:ind w:firstLine="480"/>
      </w:pPr>
      <w:r>
        <w:rPr>
          <w:rFonts w:ascii="仿宋_GB2312" w:eastAsia="仿宋_GB2312" w:hAnsi="仿宋_GB2312" w:cs="仿宋_GB2312"/>
          <w:sz w:val="32"/>
        </w:rPr>
        <w:t>9</w:t>
      </w:r>
      <w:r>
        <w:rPr>
          <w:rFonts w:ascii="仿宋_GB2312" w:eastAsia="仿宋_GB2312" w:hAnsi="仿宋_GB2312" w:cs="仿宋_GB2312"/>
          <w:sz w:val="32"/>
        </w:rPr>
        <w:t>、承办县委、政府交办的其他事项。</w:t>
      </w:r>
    </w:p>
    <w:p w:rsidR="008853A8" w:rsidRDefault="008853A8">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1F777A" w:rsidRPr="001F777A" w:rsidRDefault="001F777A" w:rsidP="001F777A">
      <w:pPr>
        <w:ind w:firstLineChars="200" w:firstLine="640"/>
      </w:pPr>
      <w:r>
        <w:rPr>
          <w:rFonts w:ascii="仿宋_GB2312" w:eastAsia="仿宋_GB2312" w:hAnsi="仿宋_GB2312" w:cs="仿宋_GB2312"/>
          <w:sz w:val="32"/>
        </w:rPr>
        <w:t>新疆喀什地区麦盖提县科学技术局2019年度，实有人数10人，其中：在职人员8人，离休人员0人，退休人员2人。</w:t>
      </w:r>
    </w:p>
    <w:p w:rsidR="00862395" w:rsidRDefault="00862395" w:rsidP="00862395">
      <w:pPr>
        <w:ind w:firstLineChars="200" w:firstLine="640"/>
        <w:rPr>
          <w:rFonts w:ascii="仿宋_GB2312" w:eastAsia="仿宋_GB2312"/>
          <w:sz w:val="32"/>
          <w:szCs w:val="32"/>
        </w:rPr>
      </w:pPr>
      <w:r>
        <w:rPr>
          <w:rFonts w:ascii="仿宋_GB2312" w:eastAsia="仿宋_GB2312" w:hAnsi="仿宋_GB2312" w:cs="仿宋_GB2312"/>
          <w:sz w:val="32"/>
        </w:rPr>
        <w:t>从部门决算单位构成看，新疆喀什地区麦盖提县科学技术局部门决算包括：新疆喀什地区麦盖提县科学技术局决算。</w:t>
      </w:r>
    </w:p>
    <w:p w:rsidR="008853A8" w:rsidRDefault="008853A8">
      <w:pPr>
        <w:ind w:firstLineChars="200" w:firstLine="640"/>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t>第二部分 部门决算情况说明</w:t>
      </w:r>
      <w:bookmarkEnd w:id="6"/>
      <w:bookmarkEnd w:id="7"/>
    </w:p>
    <w:p w:rsidR="008853A8" w:rsidRDefault="008853A8">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rsidR="008853A8" w:rsidRDefault="007E3BFD">
      <w:pPr>
        <w:ind w:firstLineChars="200" w:firstLine="640"/>
        <w:rPr>
          <w:rFonts w:ascii="仿宋_GB2312" w:eastAsia="仿宋_GB2312"/>
          <w:sz w:val="32"/>
          <w:szCs w:val="32"/>
        </w:rPr>
      </w:pPr>
      <w:r>
        <w:rPr>
          <w:rFonts w:ascii="仿宋_GB2312" w:eastAsia="仿宋_GB2312" w:hAnsi="仿宋_GB2312" w:cs="仿宋_GB2312"/>
          <w:sz w:val="32"/>
        </w:rPr>
        <w:t>2019年度本年收入136.59万元，与上年相比，增加58.61万元，增长75.16%，主要原因是：科普工作经费、“三区”科技人才支持计划等上级专项资金较去年增多。本年支出136.59万元，与上年相比，增加58.61万元，增长75.16%，主要原因是：科普工作经费、“三区”科技人才支持计划等上级专项资金较去年增多。</w:t>
      </w:r>
    </w:p>
    <w:p w:rsidR="008853A8" w:rsidRDefault="008853A8">
      <w:pPr>
        <w:ind w:firstLineChars="200" w:firstLine="640"/>
        <w:outlineLvl w:val="1"/>
        <w:rPr>
          <w:rFonts w:ascii="黑体" w:eastAsia="黑体" w:hAnsi="黑体" w:cs="宋体"/>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rsidR="008853A8" w:rsidRDefault="00125A6F">
      <w:pPr>
        <w:ind w:firstLineChars="200" w:firstLine="640"/>
        <w:rPr>
          <w:rFonts w:ascii="仿宋_GB2312" w:eastAsia="仿宋_GB2312"/>
          <w:sz w:val="32"/>
          <w:szCs w:val="32"/>
        </w:rPr>
      </w:pPr>
      <w:r>
        <w:rPr>
          <w:rFonts w:ascii="仿宋_GB2312" w:eastAsia="仿宋_GB2312" w:hAnsi="仿宋_GB2312" w:cs="仿宋_GB2312"/>
          <w:sz w:val="32"/>
        </w:rPr>
        <w:t>2019年度本年收入136.59万元，其中：财政拨款收入136.59万元，占100%；上级补助收入0万元，占0%；事业收入0万元，占0%；经营收入0万元，占0%；附属单位上缴收入0万元，占0%；其他收入0万元，占0%。</w:t>
      </w:r>
    </w:p>
    <w:p w:rsidR="008853A8" w:rsidRDefault="008853A8">
      <w:pPr>
        <w:ind w:firstLineChars="200" w:firstLine="640"/>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rsidR="008853A8" w:rsidRDefault="00233021">
      <w:pPr>
        <w:ind w:firstLineChars="200" w:firstLine="640"/>
        <w:rPr>
          <w:rFonts w:ascii="仿宋_GB2312" w:eastAsia="仿宋_GB2312"/>
          <w:sz w:val="32"/>
          <w:szCs w:val="32"/>
        </w:rPr>
      </w:pPr>
      <w:r>
        <w:rPr>
          <w:rFonts w:ascii="仿宋_GB2312" w:eastAsia="仿宋_GB2312" w:hAnsi="仿宋_GB2312" w:cs="仿宋_GB2312"/>
          <w:sz w:val="32"/>
        </w:rPr>
        <w:t>2019年度本年支出136.59万元，其中：基本支出116.24万元，占85.1%；项目支出20.35万元，占14.9%；上缴上级支出0万元，占0%；经营支出0万元，占0%；对附属单位补助支出0万元，占0%。</w:t>
      </w:r>
    </w:p>
    <w:p w:rsidR="008853A8" w:rsidRDefault="008853A8">
      <w:pPr>
        <w:ind w:firstLineChars="200" w:firstLine="640"/>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rsidR="008853A8" w:rsidRPr="001848EE" w:rsidRDefault="001C2D35">
      <w:pPr>
        <w:ind w:firstLineChars="200" w:firstLine="640"/>
        <w:rPr>
          <w:rFonts w:ascii="仿宋_GB2312" w:eastAsia="仿宋_GB2312"/>
          <w:sz w:val="32"/>
          <w:szCs w:val="32"/>
        </w:rPr>
      </w:pPr>
      <w:r>
        <w:rPr>
          <w:rFonts w:ascii="仿宋_GB2312" w:eastAsia="仿宋_GB2312" w:hAnsi="仿宋_GB2312" w:cs="仿宋_GB2312"/>
          <w:sz w:val="32"/>
        </w:rPr>
        <w:t>2019年度财政拨款收入136.59万元，与上年相比，增加58.61万元，增长75.16%，主要原因是：科普工作经费、“三区”科技人才支持计划等上级专项资金较去年增多。财政拨款支出136.59万元，与上年相比，增加58.61万元，增长75.16%，主要原因是：科普工作经费、“三区”科技人才支持计划等上级专项资金较去年增多。</w:t>
      </w:r>
    </w:p>
    <w:p w:rsidR="008853A8" w:rsidRDefault="008853A8">
      <w:pPr>
        <w:ind w:firstLineChars="200" w:firstLine="640"/>
        <w:rPr>
          <w:rFonts w:ascii="仿宋_GB2312" w:eastAsia="仿宋_GB2312"/>
          <w:sz w:val="32"/>
          <w:szCs w:val="32"/>
        </w:rPr>
      </w:pPr>
      <w:r>
        <w:rPr>
          <w:rFonts w:ascii="仿宋_GB2312" w:eastAsia="仿宋_GB2312" w:hAnsi="仿宋_GB2312" w:cs="仿宋_GB2312"/>
          <w:sz w:val="32"/>
        </w:rPr>
        <w:t>与年初预算数相比情况：财政拨款收入年初预算数82.07万元，决算数136.59万元，预决算差异率66.43%，主要原因是：年初预算不含部分年中到达的专项资金，待上级资金到达后，通过预算追加的方式下达单位，因此决算数大于年初预算数。财政拨款支出年初预算数82.07万元，决算数136.59万元，预决算差异率66.43%，主要原因是：年初预算不含部分年中到达的专项资金，待上级资金到达后，通过预算追加的方式下达单位，因此决算数大于年初预算数。</w:t>
      </w:r>
    </w:p>
    <w:p w:rsidR="008853A8" w:rsidRDefault="008853A8">
      <w:pPr>
        <w:ind w:firstLineChars="200" w:firstLine="640"/>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8853A8" w:rsidRDefault="005529D0">
      <w:pPr>
        <w:ind w:firstLineChars="200" w:firstLine="640"/>
        <w:rPr>
          <w:rFonts w:ascii="仿宋_GB2312" w:eastAsia="仿宋_GB2312"/>
          <w:sz w:val="32"/>
          <w:szCs w:val="32"/>
        </w:rPr>
      </w:pPr>
      <w:r>
        <w:rPr>
          <w:rFonts w:ascii="仿宋_GB2312" w:eastAsia="仿宋_GB2312" w:hAnsi="仿宋_GB2312" w:cs="仿宋_GB2312"/>
          <w:sz w:val="32"/>
        </w:rPr>
        <w:t>2019年度一般公共预算财政拨款支出136.59万元。按功能分类科目项级科目公开，其中：</w:t>
      </w:r>
    </w:p>
    <w:p w:rsidR="00E05B2C" w:rsidRDefault="007C5ABD">
      <w:pPr>
        <w:ind w:firstLine="480"/>
      </w:pPr>
      <w:r>
        <w:rPr>
          <w:rFonts w:ascii="仿宋_GB2312" w:eastAsia="仿宋_GB2312" w:hAnsi="仿宋_GB2312" w:cs="仿宋_GB2312"/>
          <w:sz w:val="32"/>
        </w:rPr>
        <w:t xml:space="preserve">   2060101</w:t>
      </w:r>
      <w:r>
        <w:rPr>
          <w:rFonts w:ascii="仿宋_GB2312" w:eastAsia="仿宋_GB2312" w:hAnsi="仿宋_GB2312" w:cs="仿宋_GB2312"/>
          <w:sz w:val="32"/>
        </w:rPr>
        <w:t>行政运行支出</w:t>
      </w:r>
      <w:r>
        <w:rPr>
          <w:rFonts w:ascii="仿宋_GB2312" w:eastAsia="仿宋_GB2312" w:hAnsi="仿宋_GB2312" w:cs="仿宋_GB2312"/>
          <w:sz w:val="32"/>
        </w:rPr>
        <w:t>99.30</w:t>
      </w:r>
      <w:r>
        <w:rPr>
          <w:rFonts w:ascii="仿宋_GB2312" w:eastAsia="仿宋_GB2312" w:hAnsi="仿宋_GB2312" w:cs="仿宋_GB2312"/>
          <w:sz w:val="32"/>
        </w:rPr>
        <w:t>万元；</w:t>
      </w:r>
    </w:p>
    <w:p w:rsidR="00E05B2C" w:rsidRDefault="007C5ABD">
      <w:pPr>
        <w:ind w:firstLine="480"/>
      </w:pPr>
      <w:r>
        <w:rPr>
          <w:rFonts w:ascii="仿宋_GB2312" w:eastAsia="仿宋_GB2312" w:hAnsi="仿宋_GB2312" w:cs="仿宋_GB2312"/>
          <w:sz w:val="32"/>
        </w:rPr>
        <w:t xml:space="preserve">   2060404</w:t>
      </w:r>
      <w:r>
        <w:rPr>
          <w:rFonts w:ascii="仿宋_GB2312" w:eastAsia="仿宋_GB2312" w:hAnsi="仿宋_GB2312" w:cs="仿宋_GB2312"/>
          <w:sz w:val="32"/>
        </w:rPr>
        <w:t>科技成果转化与扩散支出</w:t>
      </w:r>
      <w:r>
        <w:rPr>
          <w:rFonts w:ascii="仿宋_GB2312" w:eastAsia="仿宋_GB2312" w:hAnsi="仿宋_GB2312" w:cs="仿宋_GB2312"/>
          <w:sz w:val="32"/>
        </w:rPr>
        <w:t>4</w:t>
      </w:r>
      <w:r>
        <w:rPr>
          <w:rFonts w:ascii="仿宋_GB2312" w:eastAsia="仿宋_GB2312" w:hAnsi="仿宋_GB2312" w:cs="仿宋_GB2312"/>
          <w:sz w:val="32"/>
        </w:rPr>
        <w:t>万元；</w:t>
      </w:r>
    </w:p>
    <w:p w:rsidR="00E05B2C" w:rsidRDefault="007C5ABD">
      <w:pPr>
        <w:ind w:firstLine="480"/>
      </w:pPr>
      <w:r>
        <w:rPr>
          <w:rFonts w:ascii="仿宋_GB2312" w:eastAsia="仿宋_GB2312" w:hAnsi="仿宋_GB2312" w:cs="仿宋_GB2312"/>
          <w:sz w:val="32"/>
        </w:rPr>
        <w:t xml:space="preserve">   2060599</w:t>
      </w:r>
      <w:r>
        <w:rPr>
          <w:rFonts w:ascii="仿宋_GB2312" w:eastAsia="仿宋_GB2312" w:hAnsi="仿宋_GB2312" w:cs="仿宋_GB2312"/>
          <w:sz w:val="32"/>
        </w:rPr>
        <w:t>其他科技条件与服务支出</w:t>
      </w:r>
      <w:r>
        <w:rPr>
          <w:rFonts w:ascii="仿宋_GB2312" w:eastAsia="仿宋_GB2312" w:hAnsi="仿宋_GB2312" w:cs="仿宋_GB2312"/>
          <w:sz w:val="32"/>
        </w:rPr>
        <w:t>13.35</w:t>
      </w:r>
      <w:r>
        <w:rPr>
          <w:rFonts w:ascii="仿宋_GB2312" w:eastAsia="仿宋_GB2312" w:hAnsi="仿宋_GB2312" w:cs="仿宋_GB2312"/>
          <w:sz w:val="32"/>
        </w:rPr>
        <w:t>万元；</w:t>
      </w:r>
    </w:p>
    <w:p w:rsidR="00E05B2C" w:rsidRDefault="007C5ABD">
      <w:pPr>
        <w:ind w:firstLine="480"/>
      </w:pPr>
      <w:r>
        <w:rPr>
          <w:rFonts w:ascii="仿宋_GB2312" w:eastAsia="仿宋_GB2312" w:hAnsi="仿宋_GB2312" w:cs="仿宋_GB2312"/>
          <w:sz w:val="32"/>
        </w:rPr>
        <w:t xml:space="preserve">   2060702</w:t>
      </w:r>
      <w:r>
        <w:rPr>
          <w:rFonts w:ascii="仿宋_GB2312" w:eastAsia="仿宋_GB2312" w:hAnsi="仿宋_GB2312" w:cs="仿宋_GB2312"/>
          <w:sz w:val="32"/>
        </w:rPr>
        <w:t>科普活动支出</w:t>
      </w:r>
      <w:r>
        <w:rPr>
          <w:rFonts w:ascii="仿宋_GB2312" w:eastAsia="仿宋_GB2312" w:hAnsi="仿宋_GB2312" w:cs="仿宋_GB2312"/>
          <w:sz w:val="32"/>
        </w:rPr>
        <w:t>3</w:t>
      </w:r>
      <w:r>
        <w:rPr>
          <w:rFonts w:ascii="仿宋_GB2312" w:eastAsia="仿宋_GB2312" w:hAnsi="仿宋_GB2312" w:cs="仿宋_GB2312"/>
          <w:sz w:val="32"/>
        </w:rPr>
        <w:t>万元；</w:t>
      </w:r>
    </w:p>
    <w:p w:rsidR="00E05B2C" w:rsidRDefault="007C5ABD">
      <w:pPr>
        <w:ind w:firstLine="480"/>
      </w:pPr>
      <w:r>
        <w:rPr>
          <w:rFonts w:ascii="仿宋_GB2312" w:eastAsia="仿宋_GB2312" w:hAnsi="仿宋_GB2312" w:cs="仿宋_GB2312"/>
          <w:sz w:val="32"/>
        </w:rPr>
        <w:t xml:space="preserve">   2080505</w:t>
      </w:r>
      <w:r>
        <w:rPr>
          <w:rFonts w:ascii="仿宋_GB2312" w:eastAsia="仿宋_GB2312" w:hAnsi="仿宋_GB2312" w:cs="仿宋_GB2312"/>
          <w:sz w:val="32"/>
        </w:rPr>
        <w:t>机关事业单位基本养老保险缴费支出</w:t>
      </w:r>
      <w:r>
        <w:rPr>
          <w:rFonts w:ascii="仿宋_GB2312" w:eastAsia="仿宋_GB2312" w:hAnsi="仿宋_GB2312" w:cs="仿宋_GB2312"/>
          <w:sz w:val="32"/>
        </w:rPr>
        <w:t>9.38</w:t>
      </w:r>
      <w:r>
        <w:rPr>
          <w:rFonts w:ascii="仿宋_GB2312" w:eastAsia="仿宋_GB2312" w:hAnsi="仿宋_GB2312" w:cs="仿宋_GB2312"/>
          <w:sz w:val="32"/>
        </w:rPr>
        <w:t>万元；</w:t>
      </w:r>
    </w:p>
    <w:p w:rsidR="00E05B2C" w:rsidRDefault="007C5ABD">
      <w:pPr>
        <w:ind w:firstLine="480"/>
      </w:pPr>
      <w:r>
        <w:rPr>
          <w:rFonts w:ascii="仿宋_GB2312" w:eastAsia="仿宋_GB2312" w:hAnsi="仿宋_GB2312" w:cs="仿宋_GB2312"/>
          <w:sz w:val="32"/>
        </w:rPr>
        <w:t xml:space="preserve">   2210201</w:t>
      </w:r>
      <w:r>
        <w:rPr>
          <w:rFonts w:ascii="仿宋_GB2312" w:eastAsia="仿宋_GB2312" w:hAnsi="仿宋_GB2312" w:cs="仿宋_GB2312"/>
          <w:sz w:val="32"/>
        </w:rPr>
        <w:t>住房公积金支出</w:t>
      </w:r>
      <w:r>
        <w:rPr>
          <w:rFonts w:ascii="仿宋_GB2312" w:eastAsia="仿宋_GB2312" w:hAnsi="仿宋_GB2312" w:cs="仿宋_GB2312"/>
          <w:sz w:val="32"/>
        </w:rPr>
        <w:t>7.56</w:t>
      </w:r>
      <w:r>
        <w:rPr>
          <w:rFonts w:ascii="仿宋_GB2312" w:eastAsia="仿宋_GB2312" w:hAnsi="仿宋_GB2312" w:cs="仿宋_GB2312"/>
          <w:sz w:val="32"/>
        </w:rPr>
        <w:t>万元。</w:t>
      </w:r>
    </w:p>
    <w:p w:rsidR="008853A8" w:rsidRDefault="008853A8">
      <w:pPr>
        <w:ind w:firstLineChars="200" w:firstLine="640"/>
        <w:outlineLvl w:val="1"/>
        <w:rPr>
          <w:rFonts w:ascii="黑体" w:eastAsia="黑体" w:hAnsi="黑体" w:cs="宋体"/>
          <w:bCs/>
          <w:kern w:val="0"/>
          <w:sz w:val="32"/>
          <w:szCs w:val="32"/>
        </w:rPr>
      </w:pPr>
      <w:bookmarkStart w:id="18" w:name="_Toc11146"/>
      <w:bookmarkStart w:id="19" w:name="_Toc30870"/>
      <w:r>
        <w:rPr>
          <w:rFonts w:ascii="黑体" w:eastAsia="黑体" w:hAnsi="黑体" w:cs="宋体" w:hint="eastAsia"/>
          <w:bCs/>
          <w:kern w:val="0"/>
          <w:sz w:val="32"/>
          <w:szCs w:val="32"/>
        </w:rPr>
        <w:t>六、一般公共预算财政拨款基本支出决算情况说明</w:t>
      </w:r>
      <w:bookmarkEnd w:id="18"/>
      <w:bookmarkEnd w:id="19"/>
    </w:p>
    <w:p w:rsidR="008853A8" w:rsidRDefault="005B1DE6">
      <w:pPr>
        <w:ind w:firstLineChars="200" w:firstLine="640"/>
        <w:rPr>
          <w:rFonts w:ascii="仿宋_GB2312" w:eastAsia="仿宋_GB2312"/>
          <w:sz w:val="32"/>
          <w:szCs w:val="32"/>
        </w:rPr>
      </w:pPr>
      <w:r>
        <w:rPr>
          <w:rFonts w:ascii="仿宋_GB2312" w:eastAsia="仿宋_GB2312" w:hAnsi="仿宋_GB2312" w:cs="仿宋_GB2312"/>
          <w:sz w:val="32"/>
        </w:rPr>
        <w:t>2019年度一般公共预算财政拨款基本支出116.24万元，其中：</w:t>
      </w:r>
    </w:p>
    <w:p w:rsidR="008853A8" w:rsidRDefault="008853A8">
      <w:pPr>
        <w:ind w:firstLineChars="200" w:firstLine="640"/>
        <w:rPr>
          <w:rFonts w:ascii="仿宋_GB2312" w:eastAsia="仿宋_GB2312"/>
          <w:sz w:val="32"/>
          <w:szCs w:val="32"/>
        </w:rPr>
      </w:pPr>
      <w:r>
        <w:rPr>
          <w:rFonts w:ascii="仿宋_GB2312" w:eastAsia="仿宋_GB2312" w:hAnsi="仿宋_GB2312" w:cs="仿宋_GB2312"/>
          <w:sz w:val="32"/>
        </w:rPr>
        <w:t>人员经费115.06万元，包括：基本工资、津贴补贴、奖金、机关事业单位基本养老保险缴费、职工基本医疗保险缴费、公务员医疗补助缴费、其他社会保障缴费、住房公积金、其他工资福利支出、退休费、抚恤金、生活补助。</w:t>
      </w:r>
    </w:p>
    <w:p w:rsidR="008853A8" w:rsidRDefault="008853A8">
      <w:pPr>
        <w:ind w:firstLineChars="200" w:firstLine="640"/>
        <w:rPr>
          <w:rFonts w:ascii="仿宋_GB2312" w:eastAsia="仿宋_GB2312"/>
          <w:sz w:val="32"/>
          <w:szCs w:val="32"/>
        </w:rPr>
      </w:pPr>
      <w:r>
        <w:rPr>
          <w:rFonts w:ascii="仿宋_GB2312" w:eastAsia="仿宋_GB2312" w:hAnsi="仿宋_GB2312" w:cs="仿宋_GB2312"/>
          <w:sz w:val="32"/>
        </w:rPr>
        <w:t>公用经费1.18万元，包括：办公费、公务用车运行维护费。</w:t>
      </w:r>
    </w:p>
    <w:p w:rsidR="008853A8" w:rsidRDefault="008853A8">
      <w:pPr>
        <w:ind w:firstLineChars="200" w:firstLine="640"/>
        <w:outlineLvl w:val="1"/>
        <w:rPr>
          <w:rFonts w:ascii="黑体" w:eastAsia="黑体" w:hAnsi="黑体" w:cs="宋体"/>
          <w:bCs/>
          <w:kern w:val="0"/>
          <w:sz w:val="32"/>
          <w:szCs w:val="32"/>
        </w:rPr>
      </w:pPr>
      <w:bookmarkStart w:id="20" w:name="_Toc7190"/>
      <w:bookmarkStart w:id="21" w:name="_Toc21518"/>
      <w:r>
        <w:rPr>
          <w:rFonts w:ascii="黑体" w:eastAsia="黑体" w:hAnsi="黑体" w:cs="宋体" w:hint="eastAsia"/>
          <w:bCs/>
          <w:kern w:val="0"/>
          <w:sz w:val="32"/>
          <w:szCs w:val="32"/>
        </w:rPr>
        <w:t>七、一般公共预算财政拨款“三公”经费支出决算情况说明</w:t>
      </w:r>
      <w:bookmarkEnd w:id="20"/>
      <w:bookmarkEnd w:id="21"/>
    </w:p>
    <w:p w:rsidR="008853A8" w:rsidRDefault="00340AE7">
      <w:pPr>
        <w:ind w:firstLineChars="200" w:firstLine="640"/>
        <w:rPr>
          <w:rFonts w:ascii="仿宋_GB2312" w:eastAsia="仿宋_GB2312"/>
          <w:sz w:val="32"/>
          <w:szCs w:val="32"/>
        </w:rPr>
      </w:pPr>
      <w:r>
        <w:rPr>
          <w:rFonts w:ascii="仿宋_GB2312" w:eastAsia="仿宋_GB2312" w:hAnsi="仿宋_GB2312" w:cs="仿宋_GB2312"/>
          <w:sz w:val="32"/>
        </w:rPr>
        <w:t>2019年度一般公共预算“三公”经费支出决算4.07万元，比上年增加3.45万元，增长556.45%，主要原因是本年度下乡开展科普种植、养殖培训等工作较去年增加，车辆燃油费增加，同时车辆老旧，零部件更换较多，维护费增加。其中，因公出国（境）费支出0万元，占0%，比上年增加0万元，增长0%，主要原因是与上年相比无变动，与上年一致；公务用车购置及运行维护费支出4.07万元，占100%，比上年增加3.45万元，增长556.45%，主要原因是本年度下乡开展科普种植、养殖培训等工作较去年增</w:t>
      </w:r>
      <w:r w:rsidR="00A64498">
        <w:rPr>
          <w:rFonts w:ascii="仿宋_GB2312" w:eastAsia="仿宋_GB2312" w:hAnsi="仿宋_GB2312" w:cs="仿宋_GB2312"/>
          <w:sz w:val="32"/>
        </w:rPr>
        <w:t>加，车辆燃油费增加，同时车辆老旧，零部件更换较多，维护费增加。</w:t>
      </w:r>
      <w:r>
        <w:rPr>
          <w:rFonts w:ascii="仿宋_GB2312" w:eastAsia="仿宋_GB2312" w:hAnsi="仿宋_GB2312" w:cs="仿宋_GB2312"/>
          <w:sz w:val="32"/>
        </w:rPr>
        <w:t>公务接待费支出0万元，占0%，比上年增加0万元，增长0%，主要原因是与上年相比无变动，与上年一致。具体情况如下：</w:t>
      </w:r>
    </w:p>
    <w:p w:rsidR="008853A8" w:rsidRDefault="008853A8">
      <w:pPr>
        <w:ind w:firstLineChars="200" w:firstLine="640"/>
        <w:rPr>
          <w:rFonts w:ascii="仿宋_GB2312" w:eastAsia="仿宋_GB2312"/>
          <w:sz w:val="32"/>
          <w:szCs w:val="32"/>
        </w:rPr>
      </w:pPr>
      <w:r>
        <w:rPr>
          <w:rFonts w:ascii="仿宋_GB2312" w:eastAsia="仿宋_GB2312" w:hAnsi="仿宋_GB2312" w:cs="仿宋_GB2312"/>
          <w:sz w:val="32"/>
        </w:rPr>
        <w:t>因公出国（境）费支出0万元，开支内容包括：预算未安排，无此项支出。单位全年安排的因公出国（境）团组0个，因公出国（境）0人次。</w:t>
      </w:r>
    </w:p>
    <w:p w:rsidR="008853A8" w:rsidRDefault="008853A8">
      <w:pPr>
        <w:ind w:firstLineChars="200" w:firstLine="640"/>
        <w:rPr>
          <w:rFonts w:ascii="仿宋_GB2312" w:eastAsia="仿宋_GB2312"/>
          <w:sz w:val="32"/>
          <w:szCs w:val="32"/>
        </w:rPr>
      </w:pPr>
      <w:r>
        <w:rPr>
          <w:rFonts w:ascii="仿宋_GB2312" w:eastAsia="仿宋_GB2312" w:hAnsi="仿宋_GB2312" w:cs="仿宋_GB2312"/>
          <w:sz w:val="32"/>
        </w:rPr>
        <w:t>公务用车购置及运行维护费4.07万元，其中，公务用车购置费0万元，公务用车运行维护费4.07万元。公务用车运行维护费开支内容包括维修维护费、汽车油料费。公务用车购置数0辆，公务用车保有量2辆。</w:t>
      </w:r>
    </w:p>
    <w:p w:rsidR="008853A8" w:rsidRDefault="008853A8">
      <w:pPr>
        <w:ind w:firstLineChars="200" w:firstLine="640"/>
        <w:rPr>
          <w:rFonts w:ascii="仿宋_GB2312" w:eastAsia="仿宋_GB2312"/>
          <w:sz w:val="32"/>
          <w:szCs w:val="32"/>
        </w:rPr>
      </w:pPr>
      <w:r>
        <w:rPr>
          <w:rFonts w:ascii="仿宋_GB2312" w:eastAsia="仿宋_GB2312" w:hAnsi="仿宋_GB2312" w:cs="仿宋_GB2312"/>
          <w:sz w:val="32"/>
        </w:rPr>
        <w:t>公务接待费0万元，开支内容包括预算未安排，无此项支出。单位全年安排的国内公务接待0批次，0人次。</w:t>
      </w:r>
    </w:p>
    <w:p w:rsidR="008853A8" w:rsidRDefault="008853A8">
      <w:pPr>
        <w:ind w:firstLineChars="200" w:firstLine="640"/>
        <w:rPr>
          <w:rFonts w:ascii="仿宋_GB2312" w:eastAsia="仿宋_GB2312"/>
          <w:sz w:val="32"/>
          <w:szCs w:val="32"/>
        </w:rPr>
      </w:pPr>
      <w:r>
        <w:rPr>
          <w:rFonts w:ascii="仿宋_GB2312" w:eastAsia="仿宋_GB2312" w:hAnsi="仿宋_GB2312" w:cs="仿宋_GB2312"/>
          <w:sz w:val="32"/>
        </w:rPr>
        <w:t>与年初预算数相比情况：一般公共预算“三公”经费支出年初预算数3.12万元，决算数4.07万元，预决算差异率30.45%，主要原因是：下乡开展工作较去年增加，为保障正常开展业务工作，从项目中列支部分车辆运行维护费，因此决算数大于年初预算数。其中：因公出国（境）费预算数0万元，决算数0万元，预决算差异率0%，主要原因是：预算未安排，也无相应支出，因此预决算无差异；公务用车购置费预算数0万元，决算数0万元，预决算差异率0%，主要原因是：预算未安排，也无相应支出，因此预决算无差异；公务用车运行费预算数3.12万元，决算数4.07万元，预决算差异率30.45%，主要原因是：下乡开展工作较去年增加，为保障正常开展业务工作，从项目中列支部分车辆运行维护费，因此决算数大于年初预算数；公务接待费预算数0万元，决算数0万元，预决算差异率0%，主要原因是：预算未安排，也无相应支出，因此预决算无差异。</w:t>
      </w:r>
    </w:p>
    <w:p w:rsidR="008853A8" w:rsidRDefault="008853A8">
      <w:pPr>
        <w:ind w:firstLineChars="200" w:firstLine="640"/>
        <w:outlineLvl w:val="1"/>
        <w:rPr>
          <w:rFonts w:ascii="黑体" w:eastAsia="黑体" w:hAnsi="黑体" w:cs="宋体"/>
          <w:bCs/>
          <w:kern w:val="0"/>
          <w:sz w:val="32"/>
          <w:szCs w:val="32"/>
        </w:rPr>
      </w:pPr>
      <w:bookmarkStart w:id="22" w:name="_Toc7927"/>
      <w:bookmarkStart w:id="23" w:name="_Toc5810"/>
      <w:r>
        <w:rPr>
          <w:rFonts w:ascii="黑体" w:eastAsia="黑体" w:hAnsi="黑体" w:cs="宋体" w:hint="eastAsia"/>
          <w:bCs/>
          <w:kern w:val="0"/>
          <w:sz w:val="32"/>
          <w:szCs w:val="32"/>
        </w:rPr>
        <w:t>八、政府性基金预算收入支出决算情况说明</w:t>
      </w:r>
      <w:bookmarkEnd w:id="22"/>
      <w:bookmarkEnd w:id="23"/>
    </w:p>
    <w:p w:rsidR="008853A8" w:rsidRPr="008F7D99" w:rsidRDefault="00922FA7">
      <w:pPr>
        <w:ind w:firstLineChars="200" w:firstLine="640"/>
        <w:rPr>
          <w:rFonts w:ascii="仿宋_GB2312" w:eastAsia="仿宋_GB2312"/>
          <w:color w:val="000000" w:themeColor="text1"/>
          <w:sz w:val="32"/>
          <w:szCs w:val="32"/>
        </w:rPr>
      </w:pPr>
      <w:r>
        <w:rPr>
          <w:rFonts w:ascii="仿宋_GB2312" w:eastAsia="仿宋_GB2312" w:hAnsi="仿宋_GB2312" w:cs="仿宋_GB2312"/>
          <w:sz w:val="32"/>
        </w:rPr>
        <w:t>我单位本年度无政府性基金预算财政拨款收入支出，政府性基金预算财政拨款收入支出决算表为空表。</w:t>
      </w:r>
    </w:p>
    <w:p w:rsidR="008853A8" w:rsidRDefault="008853A8">
      <w:pPr>
        <w:ind w:firstLineChars="200" w:firstLine="640"/>
        <w:outlineLvl w:val="1"/>
        <w:rPr>
          <w:rFonts w:ascii="黑体" w:eastAsia="黑体" w:hAnsi="黑体" w:cs="宋体"/>
          <w:bCs/>
          <w:kern w:val="0"/>
          <w:sz w:val="32"/>
          <w:szCs w:val="32"/>
        </w:rPr>
      </w:pPr>
      <w:bookmarkStart w:id="24" w:name="_Toc7314"/>
      <w:bookmarkStart w:id="25" w:name="_Toc1235"/>
      <w:r>
        <w:rPr>
          <w:rFonts w:ascii="黑体" w:eastAsia="黑体" w:hAnsi="黑体" w:cs="宋体" w:hint="eastAsia"/>
          <w:bCs/>
          <w:kern w:val="0"/>
          <w:sz w:val="32"/>
          <w:szCs w:val="32"/>
        </w:rPr>
        <w:t>九、其他重要事项的情况说明</w:t>
      </w:r>
      <w:bookmarkEnd w:id="24"/>
      <w:bookmarkEnd w:id="25"/>
    </w:p>
    <w:p w:rsidR="008853A8" w:rsidRDefault="008853A8">
      <w:pPr>
        <w:ind w:firstLineChars="200" w:firstLine="640"/>
        <w:outlineLvl w:val="2"/>
        <w:rPr>
          <w:rFonts w:ascii="黑体" w:eastAsia="黑体" w:hAnsi="黑体"/>
          <w:sz w:val="32"/>
          <w:szCs w:val="32"/>
        </w:rPr>
      </w:pPr>
      <w:bookmarkStart w:id="26" w:name="_Toc13105"/>
      <w:bookmarkStart w:id="27" w:name="_Toc14519"/>
      <w:r>
        <w:rPr>
          <w:rFonts w:ascii="黑体" w:eastAsia="黑体" w:hAnsi="黑体" w:hint="eastAsia"/>
          <w:sz w:val="32"/>
          <w:szCs w:val="32"/>
        </w:rPr>
        <w:t>（一）机关运行经费支出情况</w:t>
      </w:r>
      <w:bookmarkEnd w:id="26"/>
      <w:bookmarkEnd w:id="27"/>
    </w:p>
    <w:p w:rsidR="00553FB5" w:rsidRDefault="00553FB5">
      <w:pPr>
        <w:ind w:firstLineChars="200" w:firstLine="640"/>
        <w:rPr>
          <w:rFonts w:ascii="仿宋_GB2312" w:eastAsia="仿宋_GB2312"/>
          <w:sz w:val="32"/>
          <w:szCs w:val="32"/>
        </w:rPr>
      </w:pPr>
      <w:r>
        <w:rPr>
          <w:rFonts w:ascii="仿宋_GB2312" w:eastAsia="仿宋_GB2312" w:hAnsi="仿宋_GB2312" w:cs="仿宋_GB2312"/>
          <w:sz w:val="32"/>
        </w:rPr>
        <w:t>2019年度新疆喀什地区麦盖提县科学技术局机关运行经费支出1.18万元，比上年减少0.82万元，降低41%，主要原因是财力紧张，厉行节约，压缩一切不必要开支，因此日常公用经费开支较去年减少。</w:t>
      </w:r>
    </w:p>
    <w:p w:rsidR="008853A8" w:rsidRDefault="008853A8">
      <w:pPr>
        <w:ind w:firstLineChars="200" w:firstLine="640"/>
        <w:outlineLvl w:val="2"/>
        <w:rPr>
          <w:rFonts w:ascii="黑体" w:eastAsia="黑体" w:hAnsi="黑体"/>
          <w:sz w:val="32"/>
          <w:szCs w:val="32"/>
        </w:rPr>
      </w:pPr>
      <w:bookmarkStart w:id="28" w:name="_Toc26704"/>
      <w:bookmarkStart w:id="29" w:name="_Toc227"/>
      <w:r>
        <w:rPr>
          <w:rFonts w:ascii="黑体" w:eastAsia="黑体" w:hAnsi="黑体" w:hint="eastAsia"/>
          <w:sz w:val="32"/>
          <w:szCs w:val="32"/>
        </w:rPr>
        <w:t>（二）政府采购情况</w:t>
      </w:r>
      <w:bookmarkEnd w:id="28"/>
      <w:bookmarkEnd w:id="29"/>
    </w:p>
    <w:p w:rsidR="008853A8" w:rsidRDefault="002122DE">
      <w:pPr>
        <w:ind w:firstLineChars="200" w:firstLine="640"/>
        <w:rPr>
          <w:rFonts w:ascii="仿宋_GB2312" w:eastAsia="仿宋_GB2312"/>
          <w:sz w:val="32"/>
          <w:szCs w:val="32"/>
        </w:rPr>
      </w:pPr>
      <w:r>
        <w:rPr>
          <w:rFonts w:ascii="仿宋_GB2312" w:eastAsia="仿宋_GB2312" w:hAnsi="仿宋_GB2312" w:cs="仿宋_GB2312"/>
          <w:sz w:val="32"/>
        </w:rPr>
        <w:t>2019年度政府采购支出总额0万元，其中：政府采购货物支出0万元、政府采购工程支出0万元、政府采购服务支出0万元。</w:t>
      </w:r>
    </w:p>
    <w:p w:rsidR="008853A8" w:rsidRDefault="008853A8">
      <w:pPr>
        <w:ind w:firstLineChars="200" w:firstLine="640"/>
        <w:rPr>
          <w:rFonts w:ascii="仿宋_GB2312" w:eastAsia="仿宋_GB2312"/>
          <w:sz w:val="32"/>
          <w:szCs w:val="32"/>
        </w:rPr>
      </w:pPr>
      <w:r>
        <w:rPr>
          <w:rFonts w:ascii="仿宋_GB2312" w:eastAsia="仿宋_GB2312" w:hAnsi="仿宋_GB2312" w:cs="仿宋_GB2312"/>
          <w:sz w:val="32"/>
        </w:rPr>
        <w:t>授予中小企业合同金额0万元，占政府采购支出总额的0%，其中：授予小微企业合同金额0万元，占政府采购支出总额的0%。</w:t>
      </w:r>
    </w:p>
    <w:p w:rsidR="008853A8" w:rsidRDefault="008853A8">
      <w:pPr>
        <w:ind w:firstLineChars="200" w:firstLine="640"/>
        <w:outlineLvl w:val="2"/>
        <w:rPr>
          <w:rFonts w:ascii="黑体" w:eastAsia="黑体" w:hAnsi="黑体"/>
          <w:sz w:val="32"/>
          <w:szCs w:val="32"/>
        </w:rPr>
      </w:pPr>
      <w:bookmarkStart w:id="30" w:name="_Toc4591"/>
      <w:bookmarkStart w:id="31" w:name="_Toc8391"/>
      <w:r>
        <w:rPr>
          <w:rFonts w:ascii="黑体" w:eastAsia="黑体" w:hAnsi="黑体" w:hint="eastAsia"/>
          <w:sz w:val="32"/>
          <w:szCs w:val="32"/>
        </w:rPr>
        <w:t>（三）国有资产占用情况说明</w:t>
      </w:r>
      <w:bookmarkEnd w:id="30"/>
      <w:bookmarkEnd w:id="31"/>
    </w:p>
    <w:p w:rsidR="008853A8" w:rsidRDefault="008853A8">
      <w:pPr>
        <w:ind w:firstLineChars="200" w:firstLine="640"/>
        <w:rPr>
          <w:rFonts w:ascii="仿宋_GB2312" w:eastAsia="仿宋_GB2312"/>
          <w:sz w:val="32"/>
          <w:szCs w:val="32"/>
        </w:rPr>
      </w:pPr>
      <w:r>
        <w:rPr>
          <w:rFonts w:ascii="仿宋_GB2312" w:eastAsia="仿宋_GB2312" w:hAnsi="仿宋_GB2312" w:cs="仿宋_GB2312"/>
          <w:sz w:val="32"/>
        </w:rPr>
        <w:t>截止2019年12月31日，单位共有房屋0（平方米），价值0万元。车辆2辆，价值19.78万元，其中：副部（省）级及以上领导用车0辆、主要领导干部用车0辆、机要通信用车0辆、应急保障用车0辆、执法执勤用车0辆、特种专业技术用车0辆、离退休干部用车0辆、其他用车2辆，其他用车主要是：均为科普惠农计划项目用车，一辆用于日常下乡开展科普宣传工作，一辆用于“科技之冬”培训工作；单位价值50万元以上通用设备0台（套）、单位价值100万元以上专用设备0台（套）。</w:t>
      </w:r>
    </w:p>
    <w:p w:rsidR="008853A8" w:rsidRDefault="008853A8">
      <w:pPr>
        <w:ind w:firstLineChars="200" w:firstLine="640"/>
        <w:outlineLvl w:val="1"/>
        <w:rPr>
          <w:rFonts w:ascii="黑体" w:eastAsia="黑体" w:hAnsi="黑体" w:cs="宋体"/>
          <w:bCs/>
          <w:kern w:val="0"/>
          <w:sz w:val="32"/>
          <w:szCs w:val="32"/>
        </w:rPr>
      </w:pPr>
      <w:bookmarkStart w:id="32" w:name="_Toc435"/>
      <w:bookmarkStart w:id="33" w:name="_Toc11283"/>
      <w:r>
        <w:rPr>
          <w:rFonts w:ascii="黑体" w:eastAsia="黑体" w:hAnsi="黑体" w:cs="宋体" w:hint="eastAsia"/>
          <w:bCs/>
          <w:kern w:val="0"/>
          <w:sz w:val="32"/>
          <w:szCs w:val="32"/>
        </w:rPr>
        <w:t>十、预算绩效的情况说明</w:t>
      </w:r>
      <w:bookmarkEnd w:id="32"/>
      <w:bookmarkEnd w:id="33"/>
    </w:p>
    <w:p w:rsidR="008853A8" w:rsidRDefault="0095219B">
      <w:pPr>
        <w:ind w:firstLineChars="200" w:firstLine="640"/>
        <w:rPr>
          <w:rFonts w:ascii="仿宋_GB2312" w:eastAsia="仿宋_GB2312"/>
          <w:sz w:val="32"/>
          <w:szCs w:val="32"/>
        </w:rPr>
      </w:pPr>
      <w:r>
        <w:rPr>
          <w:rFonts w:ascii="仿宋_GB2312" w:eastAsia="仿宋_GB2312" w:hAnsi="仿宋_GB2312" w:cs="仿宋_GB2312"/>
          <w:sz w:val="32"/>
        </w:rPr>
        <w:t>根据预算绩效管理要求，我单位2019年度开展预算绩效评价项目2个，共涉及资金7万元。预算绩效管理取得的成效：1、自治区科技成果转化示范专项经费项目：通过项目实施，带动了周边贫困户增收，贫困户受益后普遍感恩党和政府；2、自治区科技厅2019年科普工作经费项目：科技服务水平有所改善，各族群众学科学爱科学用科学的热情明显提高，各族群众对专家讲课的接受程度明显提高。发现的问题及原因：科技服务水平有待进一步提高；项目实施过程档案资料不齐全。下一步改进措施：安排业务学习，提高业务人员科技服务水平，制定专人负责收集、整理项目档案资料；。具体项目自评情况附项目支出绩效自评表。</w:t>
      </w:r>
    </w:p>
    <w:p w:rsidR="008853A8" w:rsidRDefault="008853A8">
      <w:pPr>
        <w:ind w:firstLineChars="200" w:firstLine="640"/>
        <w:jc w:val="center"/>
        <w:outlineLvl w:val="0"/>
        <w:rPr>
          <w:rFonts w:ascii="黑体" w:eastAsia="黑体" w:hAnsi="黑体"/>
          <w:sz w:val="32"/>
          <w:szCs w:val="32"/>
        </w:rPr>
      </w:pPr>
      <w:bookmarkStart w:id="34" w:name="_Toc24143"/>
      <w:bookmarkStart w:id="35" w:name="_Toc3250"/>
      <w:r>
        <w:rPr>
          <w:rFonts w:ascii="黑体" w:eastAsia="黑体" w:hAnsi="黑体" w:hint="eastAsia"/>
          <w:sz w:val="32"/>
          <w:szCs w:val="32"/>
        </w:rPr>
        <w:t>第三部分 专业名词解释</w:t>
      </w:r>
      <w:bookmarkEnd w:id="34"/>
      <w:bookmarkEnd w:id="35"/>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8853A8" w:rsidRDefault="008853A8">
      <w:pPr>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8853A8" w:rsidRDefault="008853A8">
      <w:pPr>
        <w:ind w:firstLineChars="200" w:firstLine="640"/>
        <w:jc w:val="center"/>
        <w:outlineLvl w:val="0"/>
        <w:rPr>
          <w:rFonts w:ascii="黑体" w:eastAsia="黑体" w:hAnsi="黑体"/>
          <w:sz w:val="32"/>
          <w:szCs w:val="32"/>
        </w:rPr>
      </w:pPr>
      <w:bookmarkStart w:id="36" w:name="_Toc28903"/>
      <w:bookmarkStart w:id="37" w:name="_Toc22784"/>
      <w:r>
        <w:rPr>
          <w:rFonts w:ascii="黑体" w:eastAsia="黑体" w:hAnsi="黑体" w:hint="eastAsia"/>
          <w:sz w:val="32"/>
          <w:szCs w:val="32"/>
        </w:rPr>
        <w:t>第四部分 部门决算报表（见附表）</w:t>
      </w:r>
      <w:bookmarkEnd w:id="36"/>
      <w:bookmarkEnd w:id="37"/>
    </w:p>
    <w:p w:rsidR="008853A8" w:rsidRDefault="008853A8">
      <w:pPr>
        <w:ind w:firstLineChars="200" w:firstLine="640"/>
        <w:outlineLvl w:val="1"/>
        <w:rPr>
          <w:rFonts w:ascii="黑体" w:eastAsia="黑体" w:hAnsi="黑体" w:cs="宋体"/>
          <w:bCs/>
          <w:kern w:val="0"/>
          <w:sz w:val="32"/>
          <w:szCs w:val="32"/>
        </w:rPr>
      </w:pPr>
      <w:bookmarkStart w:id="38" w:name="_Toc6062"/>
      <w:bookmarkStart w:id="39" w:name="_Toc2183"/>
      <w:r>
        <w:rPr>
          <w:rFonts w:ascii="黑体" w:eastAsia="黑体" w:hAnsi="黑体" w:cs="宋体" w:hint="eastAsia"/>
          <w:bCs/>
          <w:kern w:val="0"/>
          <w:sz w:val="32"/>
          <w:szCs w:val="32"/>
        </w:rPr>
        <w:t>一、《收入支出决算总表》</w:t>
      </w:r>
      <w:bookmarkEnd w:id="38"/>
      <w:bookmarkEnd w:id="39"/>
    </w:p>
    <w:p w:rsidR="008853A8" w:rsidRDefault="008853A8">
      <w:pPr>
        <w:ind w:firstLineChars="200" w:firstLine="640"/>
        <w:outlineLvl w:val="1"/>
        <w:rPr>
          <w:rFonts w:ascii="黑体" w:eastAsia="黑体" w:hAnsi="黑体" w:cs="宋体"/>
          <w:bCs/>
          <w:kern w:val="0"/>
          <w:sz w:val="32"/>
          <w:szCs w:val="32"/>
        </w:rPr>
      </w:pPr>
      <w:bookmarkStart w:id="40" w:name="_Toc30364"/>
      <w:bookmarkStart w:id="41" w:name="_Toc24532"/>
      <w:r>
        <w:rPr>
          <w:rFonts w:ascii="黑体" w:eastAsia="黑体" w:hAnsi="黑体" w:cs="宋体" w:hint="eastAsia"/>
          <w:bCs/>
          <w:kern w:val="0"/>
          <w:sz w:val="32"/>
          <w:szCs w:val="32"/>
        </w:rPr>
        <w:t>二、《收入决算表》</w:t>
      </w:r>
      <w:bookmarkEnd w:id="40"/>
      <w:bookmarkEnd w:id="41"/>
    </w:p>
    <w:p w:rsidR="008853A8" w:rsidRDefault="008853A8">
      <w:pPr>
        <w:ind w:firstLineChars="200" w:firstLine="640"/>
        <w:outlineLvl w:val="1"/>
        <w:rPr>
          <w:rFonts w:ascii="黑体" w:eastAsia="黑体" w:hAnsi="黑体" w:cs="宋体"/>
          <w:bCs/>
          <w:kern w:val="0"/>
          <w:sz w:val="32"/>
          <w:szCs w:val="32"/>
        </w:rPr>
      </w:pPr>
      <w:bookmarkStart w:id="42" w:name="_Toc21304"/>
      <w:bookmarkStart w:id="43" w:name="_Toc32434"/>
      <w:r>
        <w:rPr>
          <w:rFonts w:ascii="黑体" w:eastAsia="黑体" w:hAnsi="黑体" w:cs="宋体" w:hint="eastAsia"/>
          <w:bCs/>
          <w:kern w:val="0"/>
          <w:sz w:val="32"/>
          <w:szCs w:val="32"/>
        </w:rPr>
        <w:t>三、《支出决算表》</w:t>
      </w:r>
      <w:bookmarkEnd w:id="42"/>
      <w:bookmarkEnd w:id="43"/>
    </w:p>
    <w:p w:rsidR="008853A8" w:rsidRDefault="008853A8">
      <w:pPr>
        <w:ind w:firstLineChars="200" w:firstLine="640"/>
        <w:outlineLvl w:val="1"/>
        <w:rPr>
          <w:rFonts w:ascii="黑体" w:eastAsia="黑体" w:hAnsi="黑体" w:cs="宋体"/>
          <w:bCs/>
          <w:kern w:val="0"/>
          <w:sz w:val="32"/>
          <w:szCs w:val="32"/>
        </w:rPr>
      </w:pPr>
      <w:bookmarkStart w:id="44" w:name="_Toc14238"/>
      <w:bookmarkStart w:id="45" w:name="_Toc28786"/>
      <w:r>
        <w:rPr>
          <w:rFonts w:ascii="黑体" w:eastAsia="黑体" w:hAnsi="黑体" w:cs="宋体" w:hint="eastAsia"/>
          <w:bCs/>
          <w:kern w:val="0"/>
          <w:sz w:val="32"/>
          <w:szCs w:val="32"/>
        </w:rPr>
        <w:t>四、《财政拨款收入支出决算总表》</w:t>
      </w:r>
      <w:bookmarkEnd w:id="44"/>
      <w:bookmarkEnd w:id="45"/>
    </w:p>
    <w:p w:rsidR="008853A8" w:rsidRDefault="008853A8">
      <w:pPr>
        <w:ind w:firstLineChars="200" w:firstLine="640"/>
        <w:outlineLvl w:val="1"/>
        <w:rPr>
          <w:rFonts w:ascii="黑体" w:eastAsia="黑体" w:hAnsi="黑体" w:cs="宋体"/>
          <w:bCs/>
          <w:kern w:val="0"/>
          <w:sz w:val="32"/>
          <w:szCs w:val="32"/>
        </w:rPr>
      </w:pPr>
      <w:bookmarkStart w:id="46" w:name="_Toc10347"/>
      <w:bookmarkStart w:id="47" w:name="_Toc14869"/>
      <w:r>
        <w:rPr>
          <w:rFonts w:ascii="黑体" w:eastAsia="黑体" w:hAnsi="黑体" w:cs="宋体" w:hint="eastAsia"/>
          <w:bCs/>
          <w:kern w:val="0"/>
          <w:sz w:val="32"/>
          <w:szCs w:val="32"/>
        </w:rPr>
        <w:t>五、《一般公共预算财政拨款支出决算表》</w:t>
      </w:r>
      <w:bookmarkEnd w:id="46"/>
      <w:bookmarkEnd w:id="47"/>
    </w:p>
    <w:p w:rsidR="008853A8" w:rsidRDefault="008853A8">
      <w:pPr>
        <w:ind w:firstLineChars="200" w:firstLine="640"/>
        <w:outlineLvl w:val="1"/>
        <w:rPr>
          <w:rFonts w:ascii="黑体" w:eastAsia="黑体" w:hAnsi="黑体" w:cs="宋体"/>
          <w:bCs/>
          <w:kern w:val="0"/>
          <w:sz w:val="32"/>
          <w:szCs w:val="32"/>
        </w:rPr>
      </w:pPr>
      <w:bookmarkStart w:id="48" w:name="_Toc5626"/>
      <w:bookmarkStart w:id="49" w:name="_Toc8884"/>
      <w:r>
        <w:rPr>
          <w:rFonts w:ascii="黑体" w:eastAsia="黑体" w:hAnsi="黑体" w:cs="宋体" w:hint="eastAsia"/>
          <w:bCs/>
          <w:kern w:val="0"/>
          <w:sz w:val="32"/>
          <w:szCs w:val="32"/>
        </w:rPr>
        <w:t>六、《一般公共预算财政拨款基本支出决算表》</w:t>
      </w:r>
      <w:bookmarkEnd w:id="48"/>
      <w:bookmarkEnd w:id="49"/>
    </w:p>
    <w:p w:rsidR="008853A8" w:rsidRDefault="008853A8">
      <w:pPr>
        <w:ind w:firstLineChars="200" w:firstLine="640"/>
        <w:outlineLvl w:val="1"/>
        <w:rPr>
          <w:rFonts w:ascii="黑体" w:eastAsia="黑体" w:hAnsi="黑体" w:cs="宋体"/>
          <w:bCs/>
          <w:kern w:val="0"/>
          <w:sz w:val="32"/>
          <w:szCs w:val="32"/>
        </w:rPr>
      </w:pPr>
      <w:bookmarkStart w:id="50" w:name="_Toc32663"/>
      <w:bookmarkStart w:id="51" w:name="_Toc29106"/>
      <w:r>
        <w:rPr>
          <w:rFonts w:ascii="黑体" w:eastAsia="黑体" w:hAnsi="黑体" w:cs="宋体" w:hint="eastAsia"/>
          <w:bCs/>
          <w:kern w:val="0"/>
          <w:sz w:val="32"/>
          <w:szCs w:val="32"/>
        </w:rPr>
        <w:t>七、《一般公共预算财政拨款“三公”经费支出决算表》</w:t>
      </w:r>
      <w:bookmarkEnd w:id="50"/>
      <w:bookmarkEnd w:id="51"/>
    </w:p>
    <w:p w:rsidR="008853A8" w:rsidRDefault="008853A8">
      <w:pPr>
        <w:ind w:firstLineChars="200" w:firstLine="640"/>
        <w:outlineLvl w:val="1"/>
        <w:rPr>
          <w:rFonts w:ascii="黑体" w:eastAsia="黑体" w:hAnsi="黑体" w:cs="宋体"/>
          <w:bCs/>
          <w:kern w:val="0"/>
          <w:sz w:val="32"/>
          <w:szCs w:val="32"/>
        </w:rPr>
      </w:pPr>
      <w:bookmarkStart w:id="52" w:name="_Toc5453"/>
      <w:bookmarkStart w:id="53" w:name="_Toc7643"/>
      <w:r>
        <w:rPr>
          <w:rFonts w:ascii="黑体" w:eastAsia="黑体" w:hAnsi="黑体" w:cs="宋体" w:hint="eastAsia"/>
          <w:bCs/>
          <w:kern w:val="0"/>
          <w:sz w:val="32"/>
          <w:szCs w:val="32"/>
        </w:rPr>
        <w:t>八、《政府性基金预算财政拨款收入支出决算表》</w:t>
      </w:r>
      <w:bookmarkEnd w:id="52"/>
      <w:bookmarkEnd w:id="53"/>
    </w:p>
    <w:sectPr w:rsidR="008853A8" w:rsidSect="00E05B2C">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5ABD" w:rsidRDefault="007C5ABD">
      <w:r>
        <w:separator/>
      </w:r>
    </w:p>
  </w:endnote>
  <w:endnote w:type="continuationSeparator" w:id="0">
    <w:p w:rsidR="007C5ABD" w:rsidRDefault="007C5A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微软雅黑"/>
    <w:charset w:val="86"/>
    <w:family w:val="modern"/>
    <w:pitch w:val="default"/>
    <w:sig w:usb0="00000000" w:usb1="00000000" w:usb2="00000010" w:usb3="00000000" w:csb0="00040000" w:csb1="00000000"/>
  </w:font>
  <w:font w:name="等线 Light">
    <w:altName w:val="微软雅黑"/>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8" w:rsidRDefault="00E05B2C">
    <w:pPr>
      <w:pStyle w:val="a4"/>
    </w:pPr>
    <w:r>
      <w:rPr>
        <w:noProof/>
      </w:rPr>
      <w:pict>
        <v:shapetype id="_x0000_t202" coordsize="21600,21600" o:spt="202" path="m,l,21600r21600,l21600,xe">
          <v:stroke joinstyle="miter"/>
          <v:path gradientshapeok="t" o:connecttype="rect"/>
        </v:shapetype>
        <v:shape id="文本框 1" o:spid="_x0000_s4097" type="#_x0000_t202" style="position:absolute;margin-left:0;margin-top:0;width:2in;height:2in;z-index:251657728;visibility:visible;mso-wrap-style:none;mso-position-horizontal:center;mso-position-horizontal-relative:margin" filled="f" stroked="f">
          <v:textbox style="mso-fit-shape-to-text:t" inset="0,0,0,0">
            <w:txbxContent>
              <w:p w:rsidR="008853A8" w:rsidRDefault="00E05B2C">
                <w:pPr>
                  <w:pStyle w:val="a4"/>
                </w:pPr>
                <w:r>
                  <w:rPr>
                    <w:rFonts w:hint="eastAsia"/>
                  </w:rPr>
                  <w:fldChar w:fldCharType="begin"/>
                </w:r>
                <w:r w:rsidR="008853A8">
                  <w:rPr>
                    <w:rFonts w:hint="eastAsia"/>
                  </w:rPr>
                  <w:instrText xml:space="preserve"> PAGE  \* MERGEFORMAT </w:instrText>
                </w:r>
                <w:r>
                  <w:rPr>
                    <w:rFonts w:hint="eastAsia"/>
                  </w:rPr>
                  <w:fldChar w:fldCharType="separate"/>
                </w:r>
                <w:r w:rsidR="008853A8">
                  <w:rPr>
                    <w:rFonts w:hint="eastAsia"/>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5ABD" w:rsidRDefault="007C5ABD">
      <w:r>
        <w:separator/>
      </w:r>
    </w:p>
  </w:footnote>
  <w:footnote w:type="continuationSeparator" w:id="0">
    <w:p w:rsidR="007C5ABD" w:rsidRDefault="007C5AB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60"/>
  <w:bordersDoNotSurroundHeader/>
  <w:bordersDoNotSurroundFooter/>
  <w:proofState w:spelling="clean"/>
  <w:documentProtection w:edit="comments" w:enforcement="0"/>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C5ABD"/>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64498"/>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05B2C"/>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A053397"/>
    <w:rsid w:val="2D1136DF"/>
    <w:rsid w:val="31C63837"/>
    <w:rsid w:val="3D5275AC"/>
    <w:rsid w:val="46901EEE"/>
    <w:rsid w:val="469C74D2"/>
    <w:rsid w:val="50DB5F45"/>
    <w:rsid w:val="69AD798C"/>
    <w:rsid w:val="6B68175F"/>
    <w:rsid w:val="73FB6630"/>
    <w:rsid w:val="77ED6F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05B2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toc 2"/>
    <w:basedOn w:val="a"/>
    <w:next w:val="a"/>
    <w:rsid w:val="00E05B2C"/>
    <w:pPr>
      <w:ind w:leftChars="200" w:left="420"/>
    </w:pPr>
  </w:style>
  <w:style w:type="paragraph" w:styleId="1">
    <w:name w:val="toc 1"/>
    <w:basedOn w:val="a"/>
    <w:next w:val="a"/>
    <w:rsid w:val="00E05B2C"/>
  </w:style>
  <w:style w:type="paragraph" w:styleId="a3">
    <w:name w:val="header"/>
    <w:basedOn w:val="a"/>
    <w:rsid w:val="00E05B2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
    <w:name w:val="toc 3"/>
    <w:basedOn w:val="a"/>
    <w:next w:val="a"/>
    <w:rsid w:val="00E05B2C"/>
    <w:pPr>
      <w:ind w:leftChars="400" w:left="840"/>
    </w:pPr>
  </w:style>
  <w:style w:type="paragraph" w:styleId="a4">
    <w:name w:val="footer"/>
    <w:basedOn w:val="a"/>
    <w:rsid w:val="00E05B2C"/>
    <w:pPr>
      <w:tabs>
        <w:tab w:val="center" w:pos="4153"/>
        <w:tab w:val="right" w:pos="8306"/>
      </w:tabs>
      <w:snapToGrid w:val="0"/>
      <w:jc w:val="left"/>
    </w:pPr>
    <w:rPr>
      <w:sz w:val="18"/>
    </w:rPr>
  </w:style>
  <w:style w:type="paragraph" w:styleId="a5">
    <w:name w:val="annotation text"/>
    <w:basedOn w:val="a"/>
    <w:rsid w:val="00E05B2C"/>
    <w:pPr>
      <w:jc w:val="left"/>
    </w:pPr>
  </w:style>
  <w:style w:type="paragraph" w:customStyle="1" w:styleId="WPSOffice3">
    <w:name w:val="WPSOffice手动目录 3"/>
    <w:rsid w:val="00E05B2C"/>
    <w:pPr>
      <w:ind w:leftChars="400" w:left="400"/>
    </w:pPr>
  </w:style>
  <w:style w:type="paragraph" w:customStyle="1" w:styleId="WPSOffice2">
    <w:name w:val="WPSOffice手动目录 2"/>
    <w:rsid w:val="00E05B2C"/>
    <w:pPr>
      <w:ind w:leftChars="200" w:left="200"/>
    </w:pPr>
  </w:style>
  <w:style w:type="paragraph" w:customStyle="1" w:styleId="WPSOffice1">
    <w:name w:val="WPSOffice手动目录 1"/>
    <w:rsid w:val="00E05B2C"/>
  </w:style>
</w:styles>
</file>

<file path=word/webSettings.xml><?xml version="1.0" encoding="utf-8"?>
<w:webSettings xmlns:r="http://schemas.openxmlformats.org/officeDocument/2006/relationships" xmlns:w="http://schemas.openxmlformats.org/wordprocessingml/2006/main">
  <w:divs>
    <w:div w:id="497381100">
      <w:bodyDiv w:val="1"/>
      <w:marLeft w:val="0"/>
      <w:marRight w:val="0"/>
      <w:marTop w:val="0"/>
      <w:marBottom w:val="0"/>
      <w:divBdr>
        <w:top w:val="none" w:sz="0" w:space="0" w:color="auto"/>
        <w:left w:val="none" w:sz="0" w:space="0" w:color="auto"/>
        <w:bottom w:val="none" w:sz="0" w:space="0" w:color="auto"/>
        <w:right w:val="none" w:sz="0" w:space="0" w:color="auto"/>
      </w:divBdr>
    </w:div>
    <w:div w:id="726150857">
      <w:bodyDiv w:val="1"/>
      <w:marLeft w:val="0"/>
      <w:marRight w:val="0"/>
      <w:marTop w:val="0"/>
      <w:marBottom w:val="0"/>
      <w:divBdr>
        <w:top w:val="none" w:sz="0" w:space="0" w:color="auto"/>
        <w:left w:val="none" w:sz="0" w:space="0" w:color="auto"/>
        <w:bottom w:val="none" w:sz="0" w:space="0" w:color="auto"/>
        <w:right w:val="none" w:sz="0" w:space="0" w:color="auto"/>
      </w:divBdr>
    </w:div>
    <w:div w:id="1085761621">
      <w:bodyDiv w:val="1"/>
      <w:marLeft w:val="0"/>
      <w:marRight w:val="0"/>
      <w:marTop w:val="0"/>
      <w:marBottom w:val="0"/>
      <w:divBdr>
        <w:top w:val="none" w:sz="0" w:space="0" w:color="auto"/>
        <w:left w:val="none" w:sz="0" w:space="0" w:color="auto"/>
        <w:bottom w:val="none" w:sz="0" w:space="0" w:color="auto"/>
        <w:right w:val="none" w:sz="0" w:space="0" w:color="auto"/>
      </w:divBdr>
    </w:div>
    <w:div w:id="1572694809">
      <w:bodyDiv w:val="1"/>
      <w:marLeft w:val="0"/>
      <w:marRight w:val="0"/>
      <w:marTop w:val="0"/>
      <w:marBottom w:val="0"/>
      <w:divBdr>
        <w:top w:val="none" w:sz="0" w:space="0" w:color="auto"/>
        <w:left w:val="none" w:sz="0" w:space="0" w:color="auto"/>
        <w:bottom w:val="none" w:sz="0" w:space="0" w:color="auto"/>
        <w:right w:val="none" w:sz="0" w:space="0" w:color="auto"/>
      </w:divBdr>
    </w:div>
    <w:div w:id="1814247851">
      <w:bodyDiv w:val="1"/>
      <w:marLeft w:val="0"/>
      <w:marRight w:val="0"/>
      <w:marTop w:val="0"/>
      <w:marBottom w:val="0"/>
      <w:divBdr>
        <w:top w:val="none" w:sz="0" w:space="0" w:color="auto"/>
        <w:left w:val="none" w:sz="0" w:space="0" w:color="auto"/>
        <w:bottom w:val="none" w:sz="0" w:space="0" w:color="auto"/>
        <w:right w:val="none" w:sz="0" w:space="0" w:color="auto"/>
      </w:divBdr>
    </w:div>
    <w:div w:id="1847329340">
      <w:bodyDiv w:val="1"/>
      <w:marLeft w:val="0"/>
      <w:marRight w:val="0"/>
      <w:marTop w:val="0"/>
      <w:marBottom w:val="0"/>
      <w:divBdr>
        <w:top w:val="none" w:sz="0" w:space="0" w:color="auto"/>
        <w:left w:val="none" w:sz="0" w:space="0" w:color="auto"/>
        <w:bottom w:val="none" w:sz="0" w:space="0" w:color="auto"/>
        <w:right w:val="none" w:sz="0" w:space="0" w:color="auto"/>
      </w:divBdr>
    </w:div>
    <w:div w:id="1919709360">
      <w:bodyDiv w:val="1"/>
      <w:marLeft w:val="0"/>
      <w:marRight w:val="0"/>
      <w:marTop w:val="0"/>
      <w:marBottom w:val="0"/>
      <w:divBdr>
        <w:top w:val="none" w:sz="0" w:space="0" w:color="auto"/>
        <w:left w:val="none" w:sz="0" w:space="0" w:color="auto"/>
        <w:bottom w:val="none" w:sz="0" w:space="0" w:color="auto"/>
        <w:right w:val="none" w:sz="0" w:space="0" w:color="auto"/>
      </w:divBdr>
    </w:div>
    <w:div w:id="2019891532">
      <w:bodyDiv w:val="1"/>
      <w:marLeft w:val="0"/>
      <w:marRight w:val="0"/>
      <w:marTop w:val="0"/>
      <w:marBottom w:val="0"/>
      <w:divBdr>
        <w:top w:val="none" w:sz="0" w:space="0" w:color="auto"/>
        <w:left w:val="none" w:sz="0" w:space="0" w:color="auto"/>
        <w:bottom w:val="none" w:sz="0" w:space="0" w:color="auto"/>
        <w:right w:val="none" w:sz="0" w:space="0" w:color="auto"/>
      </w:divBdr>
    </w:div>
    <w:div w:id="2102601509">
      <w:bodyDiv w:val="1"/>
      <w:marLeft w:val="0"/>
      <w:marRight w:val="0"/>
      <w:marTop w:val="0"/>
      <w:marBottom w:val="0"/>
      <w:divBdr>
        <w:top w:val="none" w:sz="0" w:space="0" w:color="auto"/>
        <w:left w:val="none" w:sz="0" w:space="0" w:color="auto"/>
        <w:bottom w:val="none" w:sz="0" w:space="0" w:color="auto"/>
        <w:right w:val="none" w:sz="0" w:space="0" w:color="auto"/>
      </w:divBdr>
    </w:div>
    <w:div w:id="21081930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956</Words>
  <Characters>5451</Characters>
  <Application>Microsoft Office Word</Application>
  <DocSecurity>0</DocSecurity>
  <Lines>45</Lines>
  <Paragraphs>12</Paragraphs>
  <ScaleCrop>false</ScaleCrop>
  <Company/>
  <LinksUpToDate>false</LinksUpToDate>
  <CharactersWithSpaces>6395</CharactersWithSpaces>
  <SharedDoc>false</SharedDoc>
  <HLinks>
    <vt:vector size="162" baseType="variant">
      <vt:variant>
        <vt:i4>1179699</vt:i4>
      </vt:variant>
      <vt:variant>
        <vt:i4>80</vt:i4>
      </vt:variant>
      <vt:variant>
        <vt:i4>0</vt:i4>
      </vt:variant>
      <vt:variant>
        <vt:i4>5</vt:i4>
      </vt:variant>
      <vt:variant>
        <vt:lpwstr/>
      </vt:variant>
      <vt:variant>
        <vt:lpwstr>_Toc7643</vt:lpwstr>
      </vt:variant>
      <vt:variant>
        <vt:i4>1966131</vt:i4>
      </vt:variant>
      <vt:variant>
        <vt:i4>77</vt:i4>
      </vt:variant>
      <vt:variant>
        <vt:i4>0</vt:i4>
      </vt:variant>
      <vt:variant>
        <vt:i4>5</vt:i4>
      </vt:variant>
      <vt:variant>
        <vt:lpwstr/>
      </vt:variant>
      <vt:variant>
        <vt:lpwstr>_Toc29106</vt:lpwstr>
      </vt:variant>
      <vt:variant>
        <vt:i4>1769520</vt:i4>
      </vt:variant>
      <vt:variant>
        <vt:i4>74</vt:i4>
      </vt:variant>
      <vt:variant>
        <vt:i4>0</vt:i4>
      </vt:variant>
      <vt:variant>
        <vt:i4>5</vt:i4>
      </vt:variant>
      <vt:variant>
        <vt:lpwstr/>
      </vt:variant>
      <vt:variant>
        <vt:lpwstr>_Toc8884</vt:lpwstr>
      </vt:variant>
      <vt:variant>
        <vt:i4>1376313</vt:i4>
      </vt:variant>
      <vt:variant>
        <vt:i4>71</vt:i4>
      </vt:variant>
      <vt:variant>
        <vt:i4>0</vt:i4>
      </vt:variant>
      <vt:variant>
        <vt:i4>5</vt:i4>
      </vt:variant>
      <vt:variant>
        <vt:lpwstr/>
      </vt:variant>
      <vt:variant>
        <vt:lpwstr>_Toc14869</vt:lpwstr>
      </vt:variant>
      <vt:variant>
        <vt:i4>1507381</vt:i4>
      </vt:variant>
      <vt:variant>
        <vt:i4>68</vt:i4>
      </vt:variant>
      <vt:variant>
        <vt:i4>0</vt:i4>
      </vt:variant>
      <vt:variant>
        <vt:i4>5</vt:i4>
      </vt:variant>
      <vt:variant>
        <vt:lpwstr/>
      </vt:variant>
      <vt:variant>
        <vt:lpwstr>_Toc28786</vt:lpwstr>
      </vt:variant>
      <vt:variant>
        <vt:i4>1441847</vt:i4>
      </vt:variant>
      <vt:variant>
        <vt:i4>65</vt:i4>
      </vt:variant>
      <vt:variant>
        <vt:i4>0</vt:i4>
      </vt:variant>
      <vt:variant>
        <vt:i4>5</vt:i4>
      </vt:variant>
      <vt:variant>
        <vt:lpwstr/>
      </vt:variant>
      <vt:variant>
        <vt:lpwstr>_Toc32434</vt:lpwstr>
      </vt:variant>
      <vt:variant>
        <vt:i4>1048631</vt:i4>
      </vt:variant>
      <vt:variant>
        <vt:i4>62</vt:i4>
      </vt:variant>
      <vt:variant>
        <vt:i4>0</vt:i4>
      </vt:variant>
      <vt:variant>
        <vt:i4>5</vt:i4>
      </vt:variant>
      <vt:variant>
        <vt:lpwstr/>
      </vt:variant>
      <vt:variant>
        <vt:lpwstr>_Toc24532</vt:lpwstr>
      </vt:variant>
      <vt:variant>
        <vt:i4>1376314</vt:i4>
      </vt:variant>
      <vt:variant>
        <vt:i4>59</vt:i4>
      </vt:variant>
      <vt:variant>
        <vt:i4>0</vt:i4>
      </vt:variant>
      <vt:variant>
        <vt:i4>5</vt:i4>
      </vt:variant>
      <vt:variant>
        <vt:lpwstr/>
      </vt:variant>
      <vt:variant>
        <vt:lpwstr>_Toc2183</vt:lpwstr>
      </vt:variant>
      <vt:variant>
        <vt:i4>1900597</vt:i4>
      </vt:variant>
      <vt:variant>
        <vt:i4>56</vt:i4>
      </vt:variant>
      <vt:variant>
        <vt:i4>0</vt:i4>
      </vt:variant>
      <vt:variant>
        <vt:i4>5</vt:i4>
      </vt:variant>
      <vt:variant>
        <vt:lpwstr/>
      </vt:variant>
      <vt:variant>
        <vt:lpwstr>_Toc22784</vt:lpwstr>
      </vt:variant>
      <vt:variant>
        <vt:i4>1376310</vt:i4>
      </vt:variant>
      <vt:variant>
        <vt:i4>53</vt:i4>
      </vt:variant>
      <vt:variant>
        <vt:i4>0</vt:i4>
      </vt:variant>
      <vt:variant>
        <vt:i4>5</vt:i4>
      </vt:variant>
      <vt:variant>
        <vt:lpwstr/>
      </vt:variant>
      <vt:variant>
        <vt:lpwstr>_Toc3250</vt:lpwstr>
      </vt:variant>
      <vt:variant>
        <vt:i4>1966131</vt:i4>
      </vt:variant>
      <vt:variant>
        <vt:i4>50</vt:i4>
      </vt:variant>
      <vt:variant>
        <vt:i4>0</vt:i4>
      </vt:variant>
      <vt:variant>
        <vt:i4>5</vt:i4>
      </vt:variant>
      <vt:variant>
        <vt:lpwstr/>
      </vt:variant>
      <vt:variant>
        <vt:lpwstr>_Toc11283</vt:lpwstr>
      </vt:variant>
      <vt:variant>
        <vt:i4>1376305</vt:i4>
      </vt:variant>
      <vt:variant>
        <vt:i4>47</vt:i4>
      </vt:variant>
      <vt:variant>
        <vt:i4>0</vt:i4>
      </vt:variant>
      <vt:variant>
        <vt:i4>5</vt:i4>
      </vt:variant>
      <vt:variant>
        <vt:lpwstr/>
      </vt:variant>
      <vt:variant>
        <vt:lpwstr>_Toc8391</vt:lpwstr>
      </vt:variant>
      <vt:variant>
        <vt:i4>2424834</vt:i4>
      </vt:variant>
      <vt:variant>
        <vt:i4>44</vt:i4>
      </vt:variant>
      <vt:variant>
        <vt:i4>0</vt:i4>
      </vt:variant>
      <vt:variant>
        <vt:i4>5</vt:i4>
      </vt:variant>
      <vt:variant>
        <vt:lpwstr/>
      </vt:variant>
      <vt:variant>
        <vt:lpwstr>_Toc227</vt:lpwstr>
      </vt:variant>
      <vt:variant>
        <vt:i4>1179700</vt:i4>
      </vt:variant>
      <vt:variant>
        <vt:i4>41</vt:i4>
      </vt:variant>
      <vt:variant>
        <vt:i4>0</vt:i4>
      </vt:variant>
      <vt:variant>
        <vt:i4>5</vt:i4>
      </vt:variant>
      <vt:variant>
        <vt:lpwstr/>
      </vt:variant>
      <vt:variant>
        <vt:lpwstr>_Toc14519</vt:lpwstr>
      </vt:variant>
      <vt:variant>
        <vt:i4>1048626</vt:i4>
      </vt:variant>
      <vt:variant>
        <vt:i4>38</vt:i4>
      </vt:variant>
      <vt:variant>
        <vt:i4>0</vt:i4>
      </vt:variant>
      <vt:variant>
        <vt:i4>5</vt:i4>
      </vt:variant>
      <vt:variant>
        <vt:lpwstr/>
      </vt:variant>
      <vt:variant>
        <vt:lpwstr>_Toc1235</vt:lpwstr>
      </vt:variant>
      <vt:variant>
        <vt:i4>2031668</vt:i4>
      </vt:variant>
      <vt:variant>
        <vt:i4>35</vt:i4>
      </vt:variant>
      <vt:variant>
        <vt:i4>0</vt:i4>
      </vt:variant>
      <vt:variant>
        <vt:i4>5</vt:i4>
      </vt:variant>
      <vt:variant>
        <vt:lpwstr/>
      </vt:variant>
      <vt:variant>
        <vt:lpwstr>_Toc5810</vt:lpwstr>
      </vt:variant>
      <vt:variant>
        <vt:i4>1507383</vt:i4>
      </vt:variant>
      <vt:variant>
        <vt:i4>32</vt:i4>
      </vt:variant>
      <vt:variant>
        <vt:i4>0</vt:i4>
      </vt:variant>
      <vt:variant>
        <vt:i4>5</vt:i4>
      </vt:variant>
      <vt:variant>
        <vt:lpwstr/>
      </vt:variant>
      <vt:variant>
        <vt:lpwstr>_Toc21518</vt:lpwstr>
      </vt:variant>
      <vt:variant>
        <vt:i4>1048635</vt:i4>
      </vt:variant>
      <vt:variant>
        <vt:i4>29</vt:i4>
      </vt:variant>
      <vt:variant>
        <vt:i4>0</vt:i4>
      </vt:variant>
      <vt:variant>
        <vt:i4>5</vt:i4>
      </vt:variant>
      <vt:variant>
        <vt:lpwstr/>
      </vt:variant>
      <vt:variant>
        <vt:lpwstr>_Toc30870</vt:lpwstr>
      </vt:variant>
      <vt:variant>
        <vt:i4>1114161</vt:i4>
      </vt:variant>
      <vt:variant>
        <vt:i4>26</vt:i4>
      </vt:variant>
      <vt:variant>
        <vt:i4>0</vt:i4>
      </vt:variant>
      <vt:variant>
        <vt:i4>5</vt:i4>
      </vt:variant>
      <vt:variant>
        <vt:lpwstr/>
      </vt:variant>
      <vt:variant>
        <vt:lpwstr>_Toc20360</vt:lpwstr>
      </vt:variant>
      <vt:variant>
        <vt:i4>1507383</vt:i4>
      </vt:variant>
      <vt:variant>
        <vt:i4>23</vt:i4>
      </vt:variant>
      <vt:variant>
        <vt:i4>0</vt:i4>
      </vt:variant>
      <vt:variant>
        <vt:i4>5</vt:i4>
      </vt:variant>
      <vt:variant>
        <vt:lpwstr/>
      </vt:variant>
      <vt:variant>
        <vt:lpwstr>_Toc26564</vt:lpwstr>
      </vt:variant>
      <vt:variant>
        <vt:i4>1310771</vt:i4>
      </vt:variant>
      <vt:variant>
        <vt:i4>20</vt:i4>
      </vt:variant>
      <vt:variant>
        <vt:i4>0</vt:i4>
      </vt:variant>
      <vt:variant>
        <vt:i4>5</vt:i4>
      </vt:variant>
      <vt:variant>
        <vt:lpwstr/>
      </vt:variant>
      <vt:variant>
        <vt:lpwstr>_Toc13201</vt:lpwstr>
      </vt:variant>
      <vt:variant>
        <vt:i4>1114160</vt:i4>
      </vt:variant>
      <vt:variant>
        <vt:i4>17</vt:i4>
      </vt:variant>
      <vt:variant>
        <vt:i4>0</vt:i4>
      </vt:variant>
      <vt:variant>
        <vt:i4>5</vt:i4>
      </vt:variant>
      <vt:variant>
        <vt:lpwstr/>
      </vt:variant>
      <vt:variant>
        <vt:lpwstr>_Toc12142</vt:lpwstr>
      </vt:variant>
      <vt:variant>
        <vt:i4>1245233</vt:i4>
      </vt:variant>
      <vt:variant>
        <vt:i4>14</vt:i4>
      </vt:variant>
      <vt:variant>
        <vt:i4>0</vt:i4>
      </vt:variant>
      <vt:variant>
        <vt:i4>5</vt:i4>
      </vt:variant>
      <vt:variant>
        <vt:lpwstr/>
      </vt:variant>
      <vt:variant>
        <vt:lpwstr>_Toc25314</vt:lpwstr>
      </vt:variant>
      <vt:variant>
        <vt:i4>1638449</vt:i4>
      </vt:variant>
      <vt:variant>
        <vt:i4>11</vt:i4>
      </vt:variant>
      <vt:variant>
        <vt:i4>0</vt:i4>
      </vt:variant>
      <vt:variant>
        <vt:i4>5</vt:i4>
      </vt:variant>
      <vt:variant>
        <vt:lpwstr/>
      </vt:variant>
      <vt:variant>
        <vt:lpwstr>_Toc29374</vt:lpwstr>
      </vt:variant>
      <vt:variant>
        <vt:i4>1507383</vt:i4>
      </vt:variant>
      <vt:variant>
        <vt:i4>8</vt:i4>
      </vt:variant>
      <vt:variant>
        <vt:i4>0</vt:i4>
      </vt:variant>
      <vt:variant>
        <vt:i4>5</vt:i4>
      </vt:variant>
      <vt:variant>
        <vt:lpwstr/>
      </vt:variant>
      <vt:variant>
        <vt:lpwstr>_Toc2151</vt:lpwstr>
      </vt:variant>
      <vt:variant>
        <vt:i4>1114166</vt:i4>
      </vt:variant>
      <vt:variant>
        <vt:i4>5</vt:i4>
      </vt:variant>
      <vt:variant>
        <vt:i4>0</vt:i4>
      </vt:variant>
      <vt:variant>
        <vt:i4>5</vt:i4>
      </vt:variant>
      <vt:variant>
        <vt:lpwstr/>
      </vt:variant>
      <vt:variant>
        <vt:lpwstr>_Toc30567</vt:lpwstr>
      </vt:variant>
      <vt:variant>
        <vt:i4>1310768</vt:i4>
      </vt:variant>
      <vt:variant>
        <vt:i4>2</vt:i4>
      </vt:variant>
      <vt:variant>
        <vt:i4>0</vt:i4>
      </vt:variant>
      <vt:variant>
        <vt:i4>5</vt:i4>
      </vt:variant>
      <vt:variant>
        <vt:lpwstr/>
      </vt:variant>
      <vt:variant>
        <vt:lpwstr>_Toc32314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Administrator</cp:lastModifiedBy>
  <cp:revision>9</cp:revision>
  <dcterms:created xsi:type="dcterms:W3CDTF">2020-09-08T14:04:00Z</dcterms:created>
  <dcterms:modified xsi:type="dcterms:W3CDTF">2020-10-11T03:41:00Z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