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r>
        <w:rPr>
          <w:rFonts w:hint="eastAsia" w:ascii="黑体" w:hAnsi="黑体" w:eastAsia="黑体"/>
          <w:sz w:val="32"/>
          <w:szCs w:val="32"/>
        </w:rPr>
        <w:t>附件：</w:t>
      </w: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ascii="方正小标宋_GBK" w:hAnsi="方正小标宋_GBK" w:eastAsia="方正小标宋_GBK" w:cs="方正小标宋_GBK"/>
          <w:sz w:val="44"/>
        </w:rPr>
        <w:t>新疆喀什地区麦盖提县人民图书馆2019年度部门决算公开说明</w:t>
      </w: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 录</w:t>
      </w:r>
    </w:p>
    <w:p>
      <w:pPr>
        <w:pStyle w:val="6"/>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部门单位概况</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七、一般公共预算财政拨款“三公”经费支出决算情况说明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八、政府性基金预算收入支出决算情况说明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bCs/>
          <w:kern w:val="0"/>
          <w:sz w:val="32"/>
          <w:szCs w:val="32"/>
        </w:rPr>
        <w:t>九、其他重要事项的情况说明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十、预算绩效的情况说明</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七、《一般公共预算财政拨款“三公”经费支出决算表》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0" w:name="_Toc24028"/>
      <w:bookmarkStart w:id="1" w:name="_Toc32314"/>
      <w:r>
        <w:rPr>
          <w:rFonts w:hint="eastAsia" w:ascii="黑体" w:hAnsi="黑体" w:eastAsia="黑体"/>
          <w:sz w:val="32"/>
          <w:szCs w:val="32"/>
        </w:rPr>
        <w:t>第一部分 部门单位概况</w:t>
      </w:r>
      <w:bookmarkEnd w:id="0"/>
      <w:bookmarkEnd w:id="1"/>
    </w:p>
    <w:p>
      <w:pPr>
        <w:ind w:firstLine="640" w:firstLineChars="200"/>
        <w:outlineLvl w:val="1"/>
        <w:rPr>
          <w:rFonts w:ascii="黑体" w:hAnsi="黑体" w:eastAsia="黑体" w:cs="宋体"/>
          <w:bCs/>
          <w:kern w:val="0"/>
          <w:sz w:val="32"/>
          <w:szCs w:val="32"/>
        </w:rPr>
      </w:pPr>
      <w:bookmarkStart w:id="2" w:name="_Toc30567"/>
      <w:bookmarkStart w:id="3" w:name="_Toc30738"/>
      <w:r>
        <w:rPr>
          <w:rFonts w:hint="eastAsia" w:ascii="黑体" w:hAnsi="黑体" w:eastAsia="黑体" w:cs="宋体"/>
          <w:bCs/>
          <w:kern w:val="0"/>
          <w:sz w:val="32"/>
          <w:szCs w:val="32"/>
        </w:rPr>
        <w:t>一、主要职能</w:t>
      </w:r>
      <w:bookmarkEnd w:id="2"/>
      <w:bookmarkEnd w:id="3"/>
    </w:p>
    <w:p>
      <w:pPr>
        <w:ind w:firstLine="480"/>
        <w:jc w:val="both"/>
      </w:pPr>
      <w:r>
        <w:rPr>
          <w:rFonts w:ascii="仿宋_GB2312" w:hAnsi="仿宋_GB2312" w:eastAsia="仿宋_GB2312" w:cs="仿宋_GB2312"/>
          <w:b w:val="0"/>
          <w:sz w:val="32"/>
        </w:rPr>
        <w:t>1、保存人类文化遗产：图书馆的产生是保存人类文化遗产的需要。</w:t>
      </w:r>
    </w:p>
    <w:p>
      <w:pPr>
        <w:ind w:firstLine="480"/>
        <w:jc w:val="both"/>
      </w:pPr>
      <w:r>
        <w:rPr>
          <w:rFonts w:ascii="仿宋_GB2312" w:hAnsi="仿宋_GB2312" w:eastAsia="仿宋_GB2312" w:cs="仿宋_GB2312"/>
          <w:b w:val="0"/>
          <w:sz w:val="32"/>
        </w:rPr>
        <w:t>2、开展社会教育：图书馆真正走进平民百姓当中，担负起了对人的科学知识文化教育的任务。</w:t>
      </w:r>
    </w:p>
    <w:p>
      <w:pPr>
        <w:ind w:firstLine="480"/>
        <w:jc w:val="both"/>
      </w:pPr>
      <w:r>
        <w:rPr>
          <w:rFonts w:ascii="仿宋_GB2312" w:hAnsi="仿宋_GB2312" w:eastAsia="仿宋_GB2312" w:cs="仿宋_GB2312"/>
          <w:b w:val="0"/>
          <w:sz w:val="32"/>
        </w:rPr>
        <w:t>3、传递科学情报：传递科学情报是现代图书馆的一个重要职能。图书馆丰富、系统、全面的图书信息资料，成为图书馆从事科学情报传递工作的物质条件。</w:t>
      </w:r>
    </w:p>
    <w:p>
      <w:pPr>
        <w:ind w:firstLine="640" w:firstLineChars="200"/>
        <w:outlineLvl w:val="1"/>
        <w:rPr>
          <w:rFonts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pPr>
      <w:r>
        <w:rPr>
          <w:rFonts w:ascii="仿宋_GB2312" w:hAnsi="仿宋_GB2312" w:eastAsia="仿宋_GB2312" w:cs="仿宋_GB2312"/>
          <w:sz w:val="32"/>
        </w:rPr>
        <w:t>新疆喀什地区麦盖提县人民图书馆2019年度，实有人数13人，其中：在职人员6人，离休人员0人，退休人员7人。</w:t>
      </w:r>
    </w:p>
    <w:p>
      <w:pPr>
        <w:ind w:firstLine="640" w:firstLineChars="200"/>
        <w:rPr>
          <w:rFonts w:ascii="仿宋_GB2312" w:eastAsia="仿宋_GB2312"/>
          <w:sz w:val="32"/>
          <w:szCs w:val="32"/>
        </w:rPr>
      </w:pPr>
      <w:r>
        <w:rPr>
          <w:rFonts w:ascii="仿宋_GB2312" w:hAnsi="仿宋_GB2312" w:eastAsia="仿宋_GB2312" w:cs="仿宋_GB2312"/>
          <w:sz w:val="32"/>
        </w:rPr>
        <w:t>从部门决算单位构成看，新疆喀什地区麦盖提县人民图书馆部门决算包括：新疆喀什地区麦盖提县人民图书馆决算。</w:t>
      </w:r>
    </w:p>
    <w:p>
      <w:pPr>
        <w:ind w:firstLine="640" w:firstLineChars="200"/>
        <w:jc w:val="center"/>
        <w:outlineLvl w:val="0"/>
        <w:rPr>
          <w:rFonts w:ascii="黑体" w:hAnsi="黑体" w:eastAsia="黑体"/>
          <w:sz w:val="32"/>
          <w:szCs w:val="32"/>
        </w:rPr>
      </w:pPr>
      <w:bookmarkStart w:id="6" w:name="_Toc29374"/>
      <w:bookmarkStart w:id="7" w:name="_Toc3092"/>
      <w:r>
        <w:rPr>
          <w:rFonts w:hint="eastAsia" w:ascii="黑体" w:hAnsi="黑体" w:eastAsia="黑体"/>
          <w:sz w:val="32"/>
          <w:szCs w:val="32"/>
        </w:rPr>
        <w:t>第二部分 部门决算情况说明</w:t>
      </w:r>
      <w:bookmarkEnd w:id="6"/>
      <w:bookmarkEnd w:id="7"/>
    </w:p>
    <w:p>
      <w:pPr>
        <w:ind w:firstLine="640" w:firstLineChars="200"/>
        <w:outlineLvl w:val="1"/>
        <w:rPr>
          <w:rFonts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pPr>
        <w:ind w:firstLine="640" w:firstLineChars="200"/>
        <w:rPr>
          <w:rFonts w:ascii="仿宋_GB2312" w:eastAsia="仿宋_GB2312"/>
          <w:sz w:val="32"/>
          <w:szCs w:val="32"/>
        </w:rPr>
      </w:pPr>
      <w:r>
        <w:rPr>
          <w:rFonts w:ascii="仿宋_GB2312" w:hAnsi="仿宋_GB2312" w:eastAsia="仿宋_GB2312" w:cs="仿宋_GB2312"/>
          <w:sz w:val="32"/>
        </w:rPr>
        <w:t>2019年度本年收入91.61万元，与上年相比，增加27.03万元，增长41.86%，主要原因是：图书馆免费开放项目资金较去年增加。本年支出91.61万元，与上年相比，增加27.03万元，增长41.86%，主要原因是：图书馆免费开放项目资金较去年增加。</w:t>
      </w:r>
    </w:p>
    <w:p>
      <w:pPr>
        <w:ind w:firstLine="640" w:firstLineChars="200"/>
        <w:outlineLvl w:val="1"/>
        <w:rPr>
          <w:rFonts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pPr>
        <w:ind w:firstLine="640" w:firstLineChars="200"/>
        <w:rPr>
          <w:rFonts w:ascii="仿宋_GB2312" w:eastAsia="仿宋_GB2312"/>
          <w:sz w:val="32"/>
          <w:szCs w:val="32"/>
        </w:rPr>
      </w:pPr>
      <w:r>
        <w:rPr>
          <w:rFonts w:ascii="仿宋_GB2312" w:hAnsi="仿宋_GB2312" w:eastAsia="仿宋_GB2312" w:cs="仿宋_GB2312"/>
          <w:sz w:val="32"/>
        </w:rPr>
        <w:t>2019年度本年收入91.61万元，其中：财政拨款收入91.61万元，占100%；上级补助收入0万元，占0%；事业收入0万元，占0%；经营收入0万元，占0%；附属单位上缴收入0万元，占0%；其他收入0万元，占0%。</w:t>
      </w:r>
    </w:p>
    <w:p>
      <w:pPr>
        <w:ind w:firstLine="640" w:firstLineChars="200"/>
        <w:outlineLvl w:val="1"/>
        <w:rPr>
          <w:rFonts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pPr>
        <w:ind w:firstLine="640" w:firstLineChars="200"/>
        <w:rPr>
          <w:rFonts w:ascii="仿宋_GB2312" w:eastAsia="仿宋_GB2312"/>
          <w:sz w:val="32"/>
          <w:szCs w:val="32"/>
        </w:rPr>
      </w:pPr>
      <w:r>
        <w:rPr>
          <w:rFonts w:ascii="仿宋_GB2312" w:hAnsi="仿宋_GB2312" w:eastAsia="仿宋_GB2312" w:cs="仿宋_GB2312"/>
          <w:sz w:val="32"/>
        </w:rPr>
        <w:t>2019年度本年支出91.61万元，其中：基本支出71.61万元，占78.17%；项目支出20万元，占21.83%；上缴上级支出0万元，占0%；经营支出0万元，占0%；对附属单位补助支出0万元，占0%。</w:t>
      </w:r>
    </w:p>
    <w:p>
      <w:pPr>
        <w:ind w:firstLine="640" w:firstLineChars="200"/>
        <w:outlineLvl w:val="1"/>
        <w:rPr>
          <w:rFonts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ascii="仿宋_GB2312" w:hAnsi="仿宋_GB2312" w:eastAsia="仿宋_GB2312" w:cs="仿宋_GB2312"/>
          <w:sz w:val="32"/>
        </w:rPr>
        <w:t>2019年度财政拨款收入91.61万元，与上年相比，增加27.03万元，增长41.86%，主要原因是：图书馆免费开放项目资金较去年增加。财政拨款支出91.61万元，与上年相比，增加27.03万元，增长41.86%，主要原因是：图书馆免费开放项目资金较去年增加。</w:t>
      </w:r>
    </w:p>
    <w:p>
      <w:pPr>
        <w:ind w:firstLine="640" w:firstLineChars="200"/>
        <w:rPr>
          <w:rFonts w:ascii="仿宋_GB2312" w:eastAsia="仿宋_GB2312"/>
          <w:sz w:val="32"/>
          <w:szCs w:val="32"/>
        </w:rPr>
      </w:pPr>
      <w:r>
        <w:rPr>
          <w:rFonts w:ascii="仿宋_GB2312" w:hAnsi="仿宋_GB2312" w:eastAsia="仿宋_GB2312" w:cs="仿宋_GB2312"/>
          <w:sz w:val="32"/>
        </w:rPr>
        <w:t>与年初预算数相比情况：财政拨款收入年初预算数77.84万元，决算数91.61万元，预决算差异率17.69%，主要原因是：年初预算不含部分年中到达的专项资金，待上级资金到达后，通过预算追加的方式下达单位，因此决算数大于年初预算数。财政拨款支出年初预算数77.84万元，决算数91.61万元，预决算差异率17.69%，主要原因是：年初预算不含部分年中到达的专项资金，待上级资金到达后，通过预算追加的方式下达单位，因此决算数大于年初预算数。</w:t>
      </w:r>
    </w:p>
    <w:p>
      <w:pPr>
        <w:ind w:firstLine="640" w:firstLineChars="200"/>
        <w:outlineLvl w:val="1"/>
        <w:rPr>
          <w:rFonts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rPr>
          <w:rFonts w:ascii="仿宋_GB2312" w:eastAsia="仿宋_GB2312"/>
          <w:sz w:val="32"/>
          <w:szCs w:val="32"/>
        </w:rPr>
      </w:pPr>
      <w:r>
        <w:rPr>
          <w:rFonts w:ascii="仿宋_GB2312" w:hAnsi="仿宋_GB2312" w:eastAsia="仿宋_GB2312" w:cs="仿宋_GB2312"/>
          <w:sz w:val="32"/>
        </w:rPr>
        <w:t>2019年度一般公共预算财政拨款支出91.61万元。按功能分类科目项级科目公开，其中：</w:t>
      </w:r>
    </w:p>
    <w:p>
      <w:pPr>
        <w:ind w:firstLine="480"/>
        <w:jc w:val="both"/>
      </w:pPr>
      <w:r>
        <w:rPr>
          <w:rFonts w:ascii="仿宋_GB2312" w:hAnsi="仿宋_GB2312" w:eastAsia="仿宋_GB2312" w:cs="仿宋_GB2312"/>
          <w:b w:val="0"/>
          <w:sz w:val="32"/>
        </w:rPr>
        <w:t xml:space="preserve">   2070104图书馆支出60.47万元；</w:t>
      </w:r>
    </w:p>
    <w:p>
      <w:pPr>
        <w:ind w:firstLine="480"/>
        <w:jc w:val="both"/>
      </w:pPr>
      <w:r>
        <w:rPr>
          <w:rFonts w:ascii="仿宋_GB2312" w:hAnsi="仿宋_GB2312" w:eastAsia="仿宋_GB2312" w:cs="仿宋_GB2312"/>
          <w:b w:val="0"/>
          <w:sz w:val="32"/>
        </w:rPr>
        <w:t xml:space="preserve">   2070199其他文化和旅游支出20万元；</w:t>
      </w:r>
    </w:p>
    <w:p>
      <w:pPr>
        <w:ind w:firstLine="480"/>
        <w:jc w:val="both"/>
      </w:pPr>
      <w:r>
        <w:rPr>
          <w:rFonts w:ascii="仿宋_GB2312" w:hAnsi="仿宋_GB2312" w:eastAsia="仿宋_GB2312" w:cs="仿宋_GB2312"/>
          <w:b w:val="0"/>
          <w:sz w:val="32"/>
        </w:rPr>
        <w:t xml:space="preserve">   2080505机关事业单位基本养老保险缴费支出5.73万元；</w:t>
      </w:r>
    </w:p>
    <w:p>
      <w:pPr>
        <w:ind w:firstLine="480"/>
        <w:jc w:val="both"/>
      </w:pPr>
      <w:r>
        <w:rPr>
          <w:rFonts w:ascii="仿宋_GB2312" w:hAnsi="仿宋_GB2312" w:eastAsia="仿宋_GB2312" w:cs="仿宋_GB2312"/>
          <w:b w:val="0"/>
          <w:sz w:val="32"/>
        </w:rPr>
        <w:t xml:space="preserve">   2080506机关事业单位职业年金缴费支出0.37万元；</w:t>
      </w:r>
    </w:p>
    <w:p>
      <w:pPr>
        <w:ind w:firstLine="480"/>
        <w:jc w:val="both"/>
      </w:pPr>
      <w:r>
        <w:rPr>
          <w:rFonts w:ascii="仿宋_GB2312" w:hAnsi="仿宋_GB2312" w:eastAsia="仿宋_GB2312" w:cs="仿宋_GB2312"/>
          <w:b w:val="0"/>
          <w:sz w:val="32"/>
        </w:rPr>
        <w:t xml:space="preserve">   2210201住房公积金支出5.05万元。</w:t>
      </w:r>
    </w:p>
    <w:p>
      <w:pPr>
        <w:ind w:firstLine="640" w:firstLineChars="200"/>
        <w:outlineLvl w:val="1"/>
        <w:rPr>
          <w:rFonts w:ascii="黑体" w:hAnsi="黑体" w:eastAsia="黑体" w:cs="宋体"/>
          <w:bCs/>
          <w:kern w:val="0"/>
          <w:sz w:val="32"/>
          <w:szCs w:val="32"/>
        </w:rPr>
      </w:pPr>
      <w:bookmarkStart w:id="18" w:name="_Toc30870"/>
      <w:bookmarkStart w:id="19" w:name="_Toc11146"/>
      <w:r>
        <w:rPr>
          <w:rFonts w:hint="eastAsia" w:ascii="黑体" w:hAnsi="黑体" w:eastAsia="黑体" w:cs="宋体"/>
          <w:bCs/>
          <w:kern w:val="0"/>
          <w:sz w:val="32"/>
          <w:szCs w:val="32"/>
        </w:rPr>
        <w:t>六、一般公共预算财政拨款基本支出决算情况说明</w:t>
      </w:r>
      <w:bookmarkEnd w:id="18"/>
      <w:bookmarkEnd w:id="19"/>
    </w:p>
    <w:p>
      <w:pPr>
        <w:ind w:firstLine="640" w:firstLineChars="200"/>
        <w:rPr>
          <w:rFonts w:ascii="仿宋_GB2312" w:eastAsia="仿宋_GB2312"/>
          <w:sz w:val="32"/>
          <w:szCs w:val="32"/>
        </w:rPr>
      </w:pPr>
      <w:r>
        <w:rPr>
          <w:rFonts w:ascii="仿宋_GB2312" w:hAnsi="仿宋_GB2312" w:eastAsia="仿宋_GB2312" w:cs="仿宋_GB2312"/>
          <w:sz w:val="32"/>
        </w:rPr>
        <w:t>2019年度一般公共预算财政拨款基本支出71.61万元，其中：</w:t>
      </w:r>
    </w:p>
    <w:p>
      <w:pPr>
        <w:ind w:firstLine="640" w:firstLineChars="200"/>
        <w:rPr>
          <w:rFonts w:ascii="仿宋_GB2312" w:eastAsia="仿宋_GB2312"/>
          <w:sz w:val="32"/>
          <w:szCs w:val="32"/>
        </w:rPr>
      </w:pPr>
      <w:r>
        <w:rPr>
          <w:rFonts w:ascii="仿宋_GB2312" w:hAnsi="仿宋_GB2312" w:eastAsia="仿宋_GB2312" w:cs="仿宋_GB2312"/>
          <w:sz w:val="32"/>
        </w:rPr>
        <w:t>人员经费71.61万元，包括：基本工资、津贴补贴、奖金、绩效工资、机关事业单位基本养老保险缴费、职业年金缴费、职工基本医疗保险缴费、其他社会保障缴费、住房公积金。</w:t>
      </w:r>
    </w:p>
    <w:p>
      <w:pPr>
        <w:ind w:firstLine="640" w:firstLineChars="200"/>
        <w:rPr>
          <w:rFonts w:ascii="仿宋_GB2312" w:eastAsia="仿宋_GB2312"/>
          <w:sz w:val="32"/>
          <w:szCs w:val="32"/>
        </w:rPr>
      </w:pPr>
      <w:r>
        <w:rPr>
          <w:rFonts w:ascii="仿宋_GB2312" w:hAnsi="仿宋_GB2312" w:eastAsia="仿宋_GB2312" w:cs="仿宋_GB2312"/>
          <w:sz w:val="32"/>
        </w:rPr>
        <w:t>公用经费0万元。</w:t>
      </w:r>
    </w:p>
    <w:p>
      <w:pPr>
        <w:ind w:firstLine="640" w:firstLineChars="200"/>
        <w:outlineLvl w:val="1"/>
        <w:rPr>
          <w:rFonts w:ascii="黑体" w:hAnsi="黑体" w:eastAsia="黑体" w:cs="宋体"/>
          <w:bCs/>
          <w:kern w:val="0"/>
          <w:sz w:val="32"/>
          <w:szCs w:val="32"/>
        </w:rPr>
      </w:pPr>
      <w:bookmarkStart w:id="20" w:name="_Toc7190"/>
      <w:bookmarkStart w:id="21" w:name="_Toc21518"/>
      <w:r>
        <w:rPr>
          <w:rFonts w:hint="eastAsia" w:ascii="黑体" w:hAnsi="黑体" w:eastAsia="黑体" w:cs="宋体"/>
          <w:bCs/>
          <w:kern w:val="0"/>
          <w:sz w:val="32"/>
          <w:szCs w:val="32"/>
        </w:rPr>
        <w:t>七、一般公共预算财政拨款“三公”经费支出决算情况说明</w:t>
      </w:r>
      <w:bookmarkEnd w:id="20"/>
      <w:bookmarkEnd w:id="21"/>
    </w:p>
    <w:p>
      <w:pPr>
        <w:ind w:firstLine="640" w:firstLineChars="200"/>
        <w:rPr>
          <w:rFonts w:ascii="仿宋_GB2312" w:eastAsia="仿宋_GB2312"/>
          <w:sz w:val="32"/>
          <w:szCs w:val="32"/>
        </w:rPr>
      </w:pPr>
      <w:r>
        <w:rPr>
          <w:rFonts w:ascii="仿宋_GB2312" w:hAnsi="仿宋_GB2312" w:eastAsia="仿宋_GB2312" w:cs="仿宋_GB2312"/>
          <w:sz w:val="32"/>
        </w:rPr>
        <w:t>2019年度一般公共预算“三公”经费支出决算2.15万元，比上年增加2.15万元，增长100%，主要原因是下乡开展免费图书宣传活动增加，车辆使用频繁，车辆燃油费较去年增加。其中，因公出国（境）费支出0万元，占0%，比上年增加0万元，增长0%，主要原因是与上年相比无变化，与上年一致；公务用车购置及运行维护费支出2.15万元，占100%，比上年增加2.15万元，增长100%，主要原因是下乡开展免费图书宣传活动增加，车辆使用频繁，车辆燃油费较去年增加；公务接待费支出0万元，占0%，比上年增加0万元，增长0%，主要原因是与上年相比无变化，与上年一致。具体情况如下：</w:t>
      </w:r>
    </w:p>
    <w:p>
      <w:pPr>
        <w:ind w:firstLine="640" w:firstLineChars="200"/>
        <w:rPr>
          <w:rFonts w:ascii="仿宋_GB2312" w:eastAsia="仿宋_GB2312"/>
          <w:sz w:val="32"/>
          <w:szCs w:val="32"/>
        </w:rPr>
      </w:pPr>
      <w:r>
        <w:rPr>
          <w:rFonts w:ascii="仿宋_GB2312" w:hAnsi="仿宋_GB2312" w:eastAsia="仿宋_GB2312" w:cs="仿宋_GB2312"/>
          <w:sz w:val="32"/>
        </w:rPr>
        <w:t>因公出国（境）费支出0万元，开支内容包括：预算未安排，无此项支出。单位全年安排的因公出国（境）团组0个，因公出国（境）0人次。</w:t>
      </w:r>
    </w:p>
    <w:p>
      <w:pPr>
        <w:ind w:firstLine="640" w:firstLineChars="200"/>
        <w:rPr>
          <w:rFonts w:ascii="仿宋_GB2312" w:eastAsia="仿宋_GB2312"/>
          <w:sz w:val="32"/>
          <w:szCs w:val="32"/>
        </w:rPr>
      </w:pPr>
      <w:r>
        <w:rPr>
          <w:rFonts w:ascii="仿宋_GB2312" w:hAnsi="仿宋_GB2312" w:eastAsia="仿宋_GB2312" w:cs="仿宋_GB2312"/>
          <w:sz w:val="32"/>
        </w:rPr>
        <w:t>公务用车购置及运行维护费2.15万元，其中，公务用车购置费0万元，公务用车运行维护费2.15万元。公务用车运行维护费开支内容包括维修维护费、汽车油料费。公务用车购置数0辆，公务用车保有量1辆。</w:t>
      </w:r>
    </w:p>
    <w:p>
      <w:pPr>
        <w:ind w:firstLine="640" w:firstLineChars="200"/>
        <w:rPr>
          <w:rFonts w:ascii="仿宋_GB2312" w:eastAsia="仿宋_GB2312"/>
          <w:sz w:val="32"/>
          <w:szCs w:val="32"/>
        </w:rPr>
      </w:pPr>
      <w:r>
        <w:rPr>
          <w:rFonts w:ascii="仿宋_GB2312" w:hAnsi="仿宋_GB2312" w:eastAsia="仿宋_GB2312" w:cs="仿宋_GB2312"/>
          <w:sz w:val="32"/>
        </w:rPr>
        <w:t>公务接待费0万元，开支内容包括预算未安排，无此项支出。单位全年安排的国内公务接待0批次，0人次。</w:t>
      </w:r>
    </w:p>
    <w:p>
      <w:pPr>
        <w:ind w:firstLine="640" w:firstLineChars="200"/>
        <w:rPr>
          <w:rFonts w:ascii="仿宋_GB2312" w:eastAsia="仿宋_GB2312"/>
          <w:sz w:val="32"/>
          <w:szCs w:val="32"/>
        </w:rPr>
      </w:pPr>
      <w:r>
        <w:rPr>
          <w:rFonts w:ascii="仿宋_GB2312" w:hAnsi="仿宋_GB2312" w:eastAsia="仿宋_GB2312" w:cs="仿宋_GB2312"/>
          <w:sz w:val="32"/>
        </w:rPr>
        <w:t>与年初预算数相比情况：一般公共预算“三公”经费支出年初预算数1.56万元，决算数2.15万元，预决算差异率37.82%，主要原因是：下乡开展工作较去年增加，为保障正常开展业务工作，从项目中列支部分车辆运行维护费，因此决算数大于年初预算数。其中：因公出国（境）费预算数0万元，决算数0万元，预决算差异率0%，主要原因是：预算未安排，也无相应支出，因此预决算无差异；公务用车购置费预算数0万元，决算数0万元，预决算差异率0%，主要原因是：预算未安排，也无相应支出，因此预决算无差异；公务用车运行费预算数1.56万元，决算数2.15万元，预决算差异率37.82%，主要原因是：下乡开展工作较去年增加，为保障正常开展业务工作，从项目中列支部分车辆运行维护费，因此决算数大于年初预算数；公务接待费预算数0万元，决算数0万元，预决算差异率0%，主要原因是：预算未安排，也无相应支出，因此预决算无差异。</w:t>
      </w:r>
    </w:p>
    <w:p>
      <w:pPr>
        <w:ind w:firstLine="640" w:firstLineChars="200"/>
        <w:outlineLvl w:val="1"/>
        <w:rPr>
          <w:rFonts w:ascii="黑体" w:hAnsi="黑体" w:eastAsia="黑体" w:cs="宋体"/>
          <w:bCs/>
          <w:kern w:val="0"/>
          <w:sz w:val="32"/>
          <w:szCs w:val="32"/>
        </w:rPr>
      </w:pPr>
      <w:bookmarkStart w:id="22" w:name="_Toc5810"/>
      <w:bookmarkStart w:id="23" w:name="_Toc7927"/>
      <w:r>
        <w:rPr>
          <w:rFonts w:hint="eastAsia" w:ascii="黑体" w:hAnsi="黑体" w:eastAsia="黑体" w:cs="宋体"/>
          <w:bCs/>
          <w:kern w:val="0"/>
          <w:sz w:val="32"/>
          <w:szCs w:val="32"/>
        </w:rPr>
        <w:t>八、政府性基金预算收入支出决算情况说明</w:t>
      </w:r>
      <w:bookmarkEnd w:id="22"/>
      <w:bookmarkEnd w:id="23"/>
    </w:p>
    <w:p>
      <w:pPr>
        <w:ind w:firstLine="640" w:firstLineChars="200"/>
        <w:rPr>
          <w:rFonts w:ascii="仿宋_GB2312" w:eastAsia="仿宋_GB2312"/>
          <w:color w:val="000000" w:themeColor="text1"/>
          <w:sz w:val="32"/>
          <w:szCs w:val="32"/>
          <w14:textFill>
            <w14:solidFill>
              <w14:schemeClr w14:val="tx1"/>
            </w14:solidFill>
          </w14:textFill>
        </w:rPr>
      </w:pPr>
      <w:r>
        <w:rPr>
          <w:rFonts w:ascii="仿宋_GB2312" w:hAnsi="仿宋_GB2312" w:eastAsia="仿宋_GB2312" w:cs="仿宋_GB2312"/>
          <w:sz w:val="32"/>
        </w:rPr>
        <w:t>我单位本年度无政府性基金预算财政拨款收入支出，政府性基金预算财政拨款收入支出决算表为空表。</w:t>
      </w:r>
    </w:p>
    <w:p>
      <w:pPr>
        <w:ind w:firstLine="640" w:firstLineChars="200"/>
        <w:outlineLvl w:val="1"/>
        <w:rPr>
          <w:rFonts w:ascii="黑体" w:hAnsi="黑体" w:eastAsia="黑体" w:cs="宋体"/>
          <w:bCs/>
          <w:kern w:val="0"/>
          <w:sz w:val="32"/>
          <w:szCs w:val="32"/>
        </w:rPr>
      </w:pPr>
      <w:bookmarkStart w:id="24" w:name="_Toc7314"/>
      <w:bookmarkStart w:id="25" w:name="_Toc1235"/>
      <w:r>
        <w:rPr>
          <w:rFonts w:hint="eastAsia" w:ascii="黑体" w:hAnsi="黑体" w:eastAsia="黑体" w:cs="宋体"/>
          <w:bCs/>
          <w:kern w:val="0"/>
          <w:sz w:val="32"/>
          <w:szCs w:val="32"/>
        </w:rPr>
        <w:t>九、其他重要事项的情况说明</w:t>
      </w:r>
      <w:bookmarkEnd w:id="24"/>
      <w:bookmarkEnd w:id="25"/>
    </w:p>
    <w:p>
      <w:pPr>
        <w:ind w:firstLine="640" w:firstLineChars="200"/>
        <w:outlineLvl w:val="2"/>
        <w:rPr>
          <w:rFonts w:ascii="黑体" w:hAnsi="黑体" w:eastAsia="黑体"/>
          <w:sz w:val="32"/>
          <w:szCs w:val="32"/>
        </w:rPr>
      </w:pPr>
      <w:bookmarkStart w:id="26" w:name="_Toc13105"/>
      <w:bookmarkStart w:id="27" w:name="_Toc14519"/>
      <w:r>
        <w:rPr>
          <w:rFonts w:hint="eastAsia" w:ascii="黑体" w:hAnsi="黑体" w:eastAsia="黑体"/>
          <w:sz w:val="32"/>
          <w:szCs w:val="32"/>
        </w:rPr>
        <w:t>（一）机关运行经费支出情况</w:t>
      </w:r>
      <w:bookmarkEnd w:id="26"/>
      <w:bookmarkEnd w:id="27"/>
    </w:p>
    <w:p>
      <w:pPr>
        <w:ind w:firstLine="640" w:firstLineChars="200"/>
        <w:rPr>
          <w:rFonts w:ascii="仿宋_GB2312" w:eastAsia="仿宋_GB2312"/>
          <w:sz w:val="32"/>
          <w:szCs w:val="32"/>
        </w:rPr>
      </w:pPr>
      <w:r>
        <w:rPr>
          <w:rFonts w:ascii="仿宋_GB2312" w:hAnsi="仿宋_GB2312" w:eastAsia="仿宋_GB2312" w:cs="仿宋_GB2312"/>
          <w:sz w:val="32"/>
        </w:rPr>
        <w:t>新疆喀什地区麦盖提县人民图书馆日常公用经费0万元，比上年减少0.23万元，降低100%，主要原因是本年度日常公用经费从项目中开支。</w:t>
      </w:r>
    </w:p>
    <w:p>
      <w:pPr>
        <w:ind w:firstLine="640" w:firstLineChars="200"/>
        <w:outlineLvl w:val="2"/>
        <w:rPr>
          <w:rFonts w:ascii="黑体" w:hAnsi="黑体" w:eastAsia="黑体"/>
          <w:sz w:val="32"/>
          <w:szCs w:val="32"/>
        </w:rPr>
      </w:pPr>
      <w:bookmarkStart w:id="28" w:name="_Toc26704"/>
      <w:bookmarkStart w:id="29" w:name="_Toc227"/>
      <w:r>
        <w:rPr>
          <w:rFonts w:hint="eastAsia" w:ascii="黑体" w:hAnsi="黑体" w:eastAsia="黑体"/>
          <w:sz w:val="32"/>
          <w:szCs w:val="32"/>
        </w:rPr>
        <w:t>（二）政府采购情况</w:t>
      </w:r>
      <w:bookmarkEnd w:id="28"/>
      <w:bookmarkEnd w:id="29"/>
    </w:p>
    <w:p>
      <w:pPr>
        <w:ind w:firstLine="640" w:firstLineChars="200"/>
        <w:rPr>
          <w:rFonts w:ascii="仿宋_GB2312" w:eastAsia="仿宋_GB2312"/>
          <w:sz w:val="32"/>
          <w:szCs w:val="32"/>
        </w:rPr>
      </w:pPr>
      <w:r>
        <w:rPr>
          <w:rFonts w:ascii="仿宋_GB2312" w:hAnsi="仿宋_GB2312" w:eastAsia="仿宋_GB2312" w:cs="仿宋_GB2312"/>
          <w:sz w:val="32"/>
        </w:rPr>
        <w:t>2019年度政府采购支出总额0万元，其中：政府采购货物支出0万元、政府采购工程支出0万元、政府采购服务支出0万元。</w:t>
      </w:r>
    </w:p>
    <w:p>
      <w:pPr>
        <w:ind w:firstLine="640" w:firstLineChars="200"/>
        <w:rPr>
          <w:rFonts w:ascii="仿宋_GB2312" w:eastAsia="仿宋_GB2312"/>
          <w:sz w:val="32"/>
          <w:szCs w:val="32"/>
        </w:rPr>
      </w:pPr>
      <w:r>
        <w:rPr>
          <w:rFonts w:ascii="仿宋_GB2312" w:hAnsi="仿宋_GB2312" w:eastAsia="仿宋_GB2312" w:cs="仿宋_GB2312"/>
          <w:sz w:val="32"/>
        </w:rPr>
        <w:t>授予中小企业合同金额0万元，占政府采购支出总额的0%，其中：授予小微企业合同金额0万元，占政府采购支出总额的0%。</w:t>
      </w:r>
    </w:p>
    <w:p>
      <w:pPr>
        <w:ind w:firstLine="640" w:firstLineChars="200"/>
        <w:outlineLvl w:val="2"/>
        <w:rPr>
          <w:rFonts w:ascii="黑体" w:hAnsi="黑体" w:eastAsia="黑体"/>
          <w:sz w:val="32"/>
          <w:szCs w:val="32"/>
        </w:rPr>
      </w:pPr>
      <w:bookmarkStart w:id="30" w:name="_Toc4591"/>
      <w:bookmarkStart w:id="31" w:name="_Toc8391"/>
      <w:r>
        <w:rPr>
          <w:rFonts w:hint="eastAsia" w:ascii="黑体" w:hAnsi="黑体" w:eastAsia="黑体"/>
          <w:sz w:val="32"/>
          <w:szCs w:val="32"/>
        </w:rPr>
        <w:t>（三）国有资产占用情况说明</w:t>
      </w:r>
      <w:bookmarkEnd w:id="30"/>
      <w:bookmarkEnd w:id="31"/>
    </w:p>
    <w:p>
      <w:pPr>
        <w:ind w:firstLine="640" w:firstLineChars="200"/>
        <w:rPr>
          <w:rFonts w:ascii="仿宋_GB2312" w:eastAsia="仿宋_GB2312"/>
          <w:sz w:val="32"/>
          <w:szCs w:val="32"/>
        </w:rPr>
      </w:pPr>
      <w:r>
        <w:rPr>
          <w:rFonts w:ascii="仿宋_GB2312" w:hAnsi="仿宋_GB2312" w:eastAsia="仿宋_GB2312" w:cs="仿宋_GB2312"/>
          <w:sz w:val="32"/>
        </w:rPr>
        <w:t>截止2019年12月31日，单位共有房屋660（平方米），价值18.90万元。车辆1辆，价值2.15万元，其中：副部（省）级及以上领导用车0辆、主要领导干部用车0辆、机要通信用车0辆、应急保障用车0辆、执法执勤用车0辆、特种专业技术用车1辆、离退休干部用车0辆、其他用车0辆，其他用车主要是：本单位无其他用车；单位价值50万元以上通用设备0台（套）、单位价值100万元以上专用设备0台（套）。</w:t>
      </w:r>
    </w:p>
    <w:p>
      <w:pPr>
        <w:ind w:firstLine="640" w:firstLineChars="200"/>
        <w:outlineLvl w:val="1"/>
        <w:rPr>
          <w:rFonts w:ascii="黑体" w:hAnsi="黑体" w:eastAsia="黑体" w:cs="宋体"/>
          <w:bCs/>
          <w:kern w:val="0"/>
          <w:sz w:val="32"/>
          <w:szCs w:val="32"/>
        </w:rPr>
      </w:pPr>
      <w:bookmarkStart w:id="32" w:name="_Toc435"/>
      <w:bookmarkStart w:id="33" w:name="_Toc11283"/>
      <w:r>
        <w:rPr>
          <w:rFonts w:hint="eastAsia" w:ascii="黑体" w:hAnsi="黑体" w:eastAsia="黑体" w:cs="宋体"/>
          <w:bCs/>
          <w:kern w:val="0"/>
          <w:sz w:val="32"/>
          <w:szCs w:val="32"/>
        </w:rPr>
        <w:t>十、预算绩效的情况说明</w:t>
      </w:r>
      <w:bookmarkEnd w:id="32"/>
      <w:bookmarkEnd w:id="33"/>
    </w:p>
    <w:p>
      <w:pPr>
        <w:ind w:firstLine="640" w:firstLineChars="200"/>
        <w:rPr>
          <w:rFonts w:ascii="仿宋_GB2312" w:eastAsia="仿宋_GB2312"/>
          <w:sz w:val="32"/>
          <w:szCs w:val="32"/>
          <w:lang w:val="en-US"/>
        </w:rPr>
      </w:pPr>
      <w:bookmarkStart w:id="34" w:name="_Toc24143"/>
      <w:bookmarkStart w:id="35" w:name="_Toc3250"/>
      <w:r>
        <w:rPr>
          <w:rFonts w:hint="eastAsia" w:ascii="仿宋_GB2312" w:hAnsi="仿宋_GB2312" w:eastAsia="仿宋_GB2312" w:cs="仿宋_GB2312"/>
          <w:sz w:val="32"/>
          <w:lang w:val="en-US" w:eastAsia="zh-CN"/>
        </w:rPr>
        <w:t>根据预算绩效管理要求，我单位2019年度开展预算绩效评价项目0个，共涉及资金0万元。预算绩效管理取得的成效：无。发现的问题及原因：无。下一步改进措施：无。本单位无有关预算绩效管理和绩效自评开展情况。</w:t>
      </w:r>
    </w:p>
    <w:p>
      <w:pPr>
        <w:ind w:firstLine="640" w:firstLineChars="200"/>
        <w:jc w:val="center"/>
        <w:outlineLvl w:val="0"/>
        <w:rPr>
          <w:rFonts w:ascii="黑体" w:hAnsi="黑体" w:eastAsia="黑体"/>
          <w:sz w:val="32"/>
          <w:szCs w:val="32"/>
        </w:rPr>
      </w:pPr>
      <w:bookmarkStart w:id="54" w:name="_GoBack"/>
      <w:bookmarkEnd w:id="54"/>
      <w:r>
        <w:rPr>
          <w:rFonts w:hint="eastAsia" w:ascii="黑体" w:hAnsi="黑体" w:eastAsia="黑体"/>
          <w:sz w:val="32"/>
          <w:szCs w:val="32"/>
        </w:rPr>
        <w:t>第三部分 专业名词解释</w:t>
      </w:r>
      <w:bookmarkEnd w:id="34"/>
      <w:bookmarkEnd w:id="35"/>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jc w:val="center"/>
        <w:outlineLvl w:val="0"/>
        <w:rPr>
          <w:rFonts w:ascii="黑体" w:hAnsi="黑体" w:eastAsia="黑体"/>
          <w:sz w:val="32"/>
          <w:szCs w:val="32"/>
        </w:rPr>
      </w:pPr>
      <w:bookmarkStart w:id="36" w:name="_Toc28903"/>
      <w:bookmarkStart w:id="37" w:name="_Toc22784"/>
      <w:r>
        <w:rPr>
          <w:rFonts w:hint="eastAsia" w:ascii="黑体" w:hAnsi="黑体" w:eastAsia="黑体"/>
          <w:sz w:val="32"/>
          <w:szCs w:val="32"/>
        </w:rPr>
        <w:t>第四部分 部门决算报表（见附表）</w:t>
      </w:r>
      <w:bookmarkEnd w:id="36"/>
      <w:bookmarkEnd w:id="37"/>
    </w:p>
    <w:p>
      <w:pPr>
        <w:ind w:firstLine="640" w:firstLineChars="200"/>
        <w:outlineLvl w:val="1"/>
        <w:rPr>
          <w:rFonts w:ascii="黑体" w:hAnsi="黑体" w:eastAsia="黑体" w:cs="宋体"/>
          <w:bCs/>
          <w:kern w:val="0"/>
          <w:sz w:val="32"/>
          <w:szCs w:val="32"/>
        </w:rPr>
      </w:pPr>
      <w:bookmarkStart w:id="38" w:name="_Toc6062"/>
      <w:bookmarkStart w:id="39" w:name="_Toc2183"/>
      <w:r>
        <w:rPr>
          <w:rFonts w:hint="eastAsia" w:ascii="黑体" w:hAnsi="黑体" w:eastAsia="黑体" w:cs="宋体"/>
          <w:bCs/>
          <w:kern w:val="0"/>
          <w:sz w:val="32"/>
          <w:szCs w:val="32"/>
        </w:rPr>
        <w:t>一、《收入支出决算总表》</w:t>
      </w:r>
      <w:bookmarkEnd w:id="38"/>
      <w:bookmarkEnd w:id="39"/>
    </w:p>
    <w:p>
      <w:pPr>
        <w:ind w:firstLine="640" w:firstLineChars="200"/>
        <w:outlineLvl w:val="1"/>
        <w:rPr>
          <w:rFonts w:ascii="黑体" w:hAnsi="黑体" w:eastAsia="黑体" w:cs="宋体"/>
          <w:bCs/>
          <w:kern w:val="0"/>
          <w:sz w:val="32"/>
          <w:szCs w:val="32"/>
        </w:rPr>
      </w:pPr>
      <w:bookmarkStart w:id="40" w:name="_Toc30364"/>
      <w:bookmarkStart w:id="41" w:name="_Toc24532"/>
      <w:r>
        <w:rPr>
          <w:rFonts w:hint="eastAsia" w:ascii="黑体" w:hAnsi="黑体" w:eastAsia="黑体" w:cs="宋体"/>
          <w:bCs/>
          <w:kern w:val="0"/>
          <w:sz w:val="32"/>
          <w:szCs w:val="32"/>
        </w:rPr>
        <w:t>二、《收入决算表》</w:t>
      </w:r>
      <w:bookmarkEnd w:id="40"/>
      <w:bookmarkEnd w:id="41"/>
    </w:p>
    <w:p>
      <w:pPr>
        <w:ind w:firstLine="640" w:firstLineChars="200"/>
        <w:outlineLvl w:val="1"/>
        <w:rPr>
          <w:rFonts w:ascii="黑体" w:hAnsi="黑体" w:eastAsia="黑体" w:cs="宋体"/>
          <w:bCs/>
          <w:kern w:val="0"/>
          <w:sz w:val="32"/>
          <w:szCs w:val="32"/>
        </w:rPr>
      </w:pPr>
      <w:bookmarkStart w:id="42" w:name="_Toc21304"/>
      <w:bookmarkStart w:id="43" w:name="_Toc32434"/>
      <w:r>
        <w:rPr>
          <w:rFonts w:hint="eastAsia" w:ascii="黑体" w:hAnsi="黑体" w:eastAsia="黑体" w:cs="宋体"/>
          <w:bCs/>
          <w:kern w:val="0"/>
          <w:sz w:val="32"/>
          <w:szCs w:val="32"/>
        </w:rPr>
        <w:t>三、《支出决算表》</w:t>
      </w:r>
      <w:bookmarkEnd w:id="42"/>
      <w:bookmarkEnd w:id="43"/>
    </w:p>
    <w:p>
      <w:pPr>
        <w:ind w:firstLine="640" w:firstLineChars="200"/>
        <w:outlineLvl w:val="1"/>
        <w:rPr>
          <w:rFonts w:ascii="黑体" w:hAnsi="黑体" w:eastAsia="黑体" w:cs="宋体"/>
          <w:bCs/>
          <w:kern w:val="0"/>
          <w:sz w:val="32"/>
          <w:szCs w:val="32"/>
        </w:rPr>
      </w:pPr>
      <w:bookmarkStart w:id="44" w:name="_Toc14238"/>
      <w:bookmarkStart w:id="45" w:name="_Toc28786"/>
      <w:r>
        <w:rPr>
          <w:rFonts w:hint="eastAsia" w:ascii="黑体" w:hAnsi="黑体" w:eastAsia="黑体" w:cs="宋体"/>
          <w:bCs/>
          <w:kern w:val="0"/>
          <w:sz w:val="32"/>
          <w:szCs w:val="32"/>
        </w:rPr>
        <w:t>四、《财政拨款收入支出决算总表》</w:t>
      </w:r>
      <w:bookmarkEnd w:id="44"/>
      <w:bookmarkEnd w:id="45"/>
    </w:p>
    <w:p>
      <w:pPr>
        <w:ind w:firstLine="640" w:firstLineChars="200"/>
        <w:outlineLvl w:val="1"/>
        <w:rPr>
          <w:rFonts w:ascii="黑体" w:hAnsi="黑体" w:eastAsia="黑体" w:cs="宋体"/>
          <w:bCs/>
          <w:kern w:val="0"/>
          <w:sz w:val="32"/>
          <w:szCs w:val="32"/>
        </w:rPr>
      </w:pPr>
      <w:bookmarkStart w:id="46" w:name="_Toc10347"/>
      <w:bookmarkStart w:id="47" w:name="_Toc14869"/>
      <w:r>
        <w:rPr>
          <w:rFonts w:hint="eastAsia" w:ascii="黑体" w:hAnsi="黑体" w:eastAsia="黑体" w:cs="宋体"/>
          <w:bCs/>
          <w:kern w:val="0"/>
          <w:sz w:val="32"/>
          <w:szCs w:val="32"/>
        </w:rPr>
        <w:t>五、《一般公共预算财政拨款支出决算表》</w:t>
      </w:r>
      <w:bookmarkEnd w:id="46"/>
      <w:bookmarkEnd w:id="47"/>
    </w:p>
    <w:p>
      <w:pPr>
        <w:ind w:firstLine="640" w:firstLineChars="200"/>
        <w:outlineLvl w:val="1"/>
        <w:rPr>
          <w:rFonts w:ascii="黑体" w:hAnsi="黑体" w:eastAsia="黑体" w:cs="宋体"/>
          <w:bCs/>
          <w:kern w:val="0"/>
          <w:sz w:val="32"/>
          <w:szCs w:val="32"/>
        </w:rPr>
      </w:pPr>
      <w:bookmarkStart w:id="48" w:name="_Toc5626"/>
      <w:bookmarkStart w:id="49" w:name="_Toc8884"/>
      <w:r>
        <w:rPr>
          <w:rFonts w:hint="eastAsia" w:ascii="黑体" w:hAnsi="黑体" w:eastAsia="黑体" w:cs="宋体"/>
          <w:bCs/>
          <w:kern w:val="0"/>
          <w:sz w:val="32"/>
          <w:szCs w:val="32"/>
        </w:rPr>
        <w:t>六、《一般公共预算财政拨款基本支出决算表》</w:t>
      </w:r>
      <w:bookmarkEnd w:id="48"/>
      <w:bookmarkEnd w:id="49"/>
    </w:p>
    <w:p>
      <w:pPr>
        <w:ind w:firstLine="640" w:firstLineChars="200"/>
        <w:outlineLvl w:val="1"/>
        <w:rPr>
          <w:rFonts w:ascii="黑体" w:hAnsi="黑体" w:eastAsia="黑体" w:cs="宋体"/>
          <w:bCs/>
          <w:kern w:val="0"/>
          <w:sz w:val="32"/>
          <w:szCs w:val="32"/>
        </w:rPr>
      </w:pPr>
      <w:bookmarkStart w:id="50" w:name="_Toc32663"/>
      <w:bookmarkStart w:id="51" w:name="_Toc29106"/>
      <w:r>
        <w:rPr>
          <w:rFonts w:hint="eastAsia" w:ascii="黑体" w:hAnsi="黑体" w:eastAsia="黑体" w:cs="宋体"/>
          <w:bCs/>
          <w:kern w:val="0"/>
          <w:sz w:val="32"/>
          <w:szCs w:val="32"/>
        </w:rPr>
        <w:t>七、《一般公共预算财政拨款“三公”经费支出决算表》</w:t>
      </w:r>
      <w:bookmarkEnd w:id="50"/>
      <w:bookmarkEnd w:id="51"/>
    </w:p>
    <w:p>
      <w:pPr>
        <w:ind w:firstLine="640" w:firstLineChars="200"/>
        <w:outlineLvl w:val="1"/>
        <w:rPr>
          <w:rFonts w:ascii="黑体" w:hAnsi="黑体" w:eastAsia="黑体" w:cs="宋体"/>
          <w:bCs/>
          <w:kern w:val="0"/>
          <w:sz w:val="32"/>
          <w:szCs w:val="32"/>
        </w:rPr>
      </w:pPr>
      <w:bookmarkStart w:id="52" w:name="_Toc5453"/>
      <w:bookmarkStart w:id="53" w:name="_Toc7643"/>
      <w:r>
        <w:rPr>
          <w:rFonts w:hint="eastAsia" w:ascii="黑体" w:hAnsi="黑体" w:eastAsia="黑体" w:cs="宋体"/>
          <w:bCs/>
          <w:kern w:val="0"/>
          <w:sz w:val="32"/>
          <w:szCs w:val="32"/>
        </w:rPr>
        <w:t>八、《政府性基金预算财政拨款收入支出决算表》</w:t>
      </w:r>
      <w:bookmarkEnd w:id="52"/>
      <w:bookmarkEnd w:id="53"/>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M6pebnPAAAABQEAAA8A&#10;AAAAAAAAAQAgAAAAIgAAAGRycy9kb3ducmV2LnhtbFBLAQIUABQAAAAIAIdO4kAencV45wEAALYD&#10;AAAOAAAAAAAAAAEAIAAAAB4BAABkcnMvZTJvRG9jLnhtbFBLBQYAAAAABgAGAFkBAAB3BQAAAAA=&#10;">
              <v:fill on="f" focussize="0,0"/>
              <v:stroke on="f"/>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dit="comments"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6E66"/>
    <w:rsid w:val="000033EF"/>
    <w:rsid w:val="00004533"/>
    <w:rsid w:val="00005A21"/>
    <w:rsid w:val="0004063C"/>
    <w:rsid w:val="000701A7"/>
    <w:rsid w:val="00082456"/>
    <w:rsid w:val="000A663A"/>
    <w:rsid w:val="000B5514"/>
    <w:rsid w:val="000B57B8"/>
    <w:rsid w:val="000B69AB"/>
    <w:rsid w:val="000F01B7"/>
    <w:rsid w:val="000F6705"/>
    <w:rsid w:val="001111D4"/>
    <w:rsid w:val="001128A8"/>
    <w:rsid w:val="001130AE"/>
    <w:rsid w:val="001237CF"/>
    <w:rsid w:val="00125A6F"/>
    <w:rsid w:val="0014029C"/>
    <w:rsid w:val="00144642"/>
    <w:rsid w:val="00146FA3"/>
    <w:rsid w:val="001573AA"/>
    <w:rsid w:val="00162E66"/>
    <w:rsid w:val="001826D1"/>
    <w:rsid w:val="001848EE"/>
    <w:rsid w:val="00186B3B"/>
    <w:rsid w:val="001C2D35"/>
    <w:rsid w:val="001C5BE8"/>
    <w:rsid w:val="001C6E66"/>
    <w:rsid w:val="001D3634"/>
    <w:rsid w:val="001D37EF"/>
    <w:rsid w:val="001E4D79"/>
    <w:rsid w:val="001F29A9"/>
    <w:rsid w:val="001F777A"/>
    <w:rsid w:val="002122DE"/>
    <w:rsid w:val="00227229"/>
    <w:rsid w:val="002328AF"/>
    <w:rsid w:val="00233021"/>
    <w:rsid w:val="0024217C"/>
    <w:rsid w:val="00243E6C"/>
    <w:rsid w:val="00246EBC"/>
    <w:rsid w:val="00265F92"/>
    <w:rsid w:val="00272845"/>
    <w:rsid w:val="00282550"/>
    <w:rsid w:val="00287829"/>
    <w:rsid w:val="0029171A"/>
    <w:rsid w:val="00292B7F"/>
    <w:rsid w:val="00292C0A"/>
    <w:rsid w:val="002A4B19"/>
    <w:rsid w:val="002B072F"/>
    <w:rsid w:val="002B37DA"/>
    <w:rsid w:val="002B7A04"/>
    <w:rsid w:val="002D187F"/>
    <w:rsid w:val="002F1732"/>
    <w:rsid w:val="003106FF"/>
    <w:rsid w:val="00327986"/>
    <w:rsid w:val="003314E6"/>
    <w:rsid w:val="00340AE7"/>
    <w:rsid w:val="00354737"/>
    <w:rsid w:val="0037159F"/>
    <w:rsid w:val="00377EC6"/>
    <w:rsid w:val="003920B8"/>
    <w:rsid w:val="003A44F0"/>
    <w:rsid w:val="003C3EF4"/>
    <w:rsid w:val="003D1DD1"/>
    <w:rsid w:val="003E5F70"/>
    <w:rsid w:val="003F60E1"/>
    <w:rsid w:val="00400D8F"/>
    <w:rsid w:val="004161A5"/>
    <w:rsid w:val="00430E56"/>
    <w:rsid w:val="004318F5"/>
    <w:rsid w:val="00456820"/>
    <w:rsid w:val="00471387"/>
    <w:rsid w:val="00471BBD"/>
    <w:rsid w:val="0047268F"/>
    <w:rsid w:val="004A41CF"/>
    <w:rsid w:val="004A44C9"/>
    <w:rsid w:val="004B2E7F"/>
    <w:rsid w:val="004B3B3F"/>
    <w:rsid w:val="004D35C0"/>
    <w:rsid w:val="004E519F"/>
    <w:rsid w:val="004F1D2D"/>
    <w:rsid w:val="004F506B"/>
    <w:rsid w:val="00531503"/>
    <w:rsid w:val="00534ECA"/>
    <w:rsid w:val="005358C2"/>
    <w:rsid w:val="005474EB"/>
    <w:rsid w:val="005506DD"/>
    <w:rsid w:val="005529D0"/>
    <w:rsid w:val="00553FB5"/>
    <w:rsid w:val="00554A58"/>
    <w:rsid w:val="00560394"/>
    <w:rsid w:val="0056525F"/>
    <w:rsid w:val="005B1DE6"/>
    <w:rsid w:val="005C11EB"/>
    <w:rsid w:val="006032AE"/>
    <w:rsid w:val="00684E46"/>
    <w:rsid w:val="0068591E"/>
    <w:rsid w:val="00690F22"/>
    <w:rsid w:val="00693012"/>
    <w:rsid w:val="006B0B73"/>
    <w:rsid w:val="006D2B94"/>
    <w:rsid w:val="006D3853"/>
    <w:rsid w:val="006E0721"/>
    <w:rsid w:val="0070295D"/>
    <w:rsid w:val="00725755"/>
    <w:rsid w:val="0075023C"/>
    <w:rsid w:val="00750D8A"/>
    <w:rsid w:val="00764051"/>
    <w:rsid w:val="00772611"/>
    <w:rsid w:val="007741F8"/>
    <w:rsid w:val="007B0022"/>
    <w:rsid w:val="007E2E4F"/>
    <w:rsid w:val="007E3BFD"/>
    <w:rsid w:val="00807B4B"/>
    <w:rsid w:val="008144CF"/>
    <w:rsid w:val="00822EED"/>
    <w:rsid w:val="00827663"/>
    <w:rsid w:val="00847CE1"/>
    <w:rsid w:val="00852D88"/>
    <w:rsid w:val="00857132"/>
    <w:rsid w:val="00862395"/>
    <w:rsid w:val="0088099A"/>
    <w:rsid w:val="008853A8"/>
    <w:rsid w:val="00887778"/>
    <w:rsid w:val="008A54C1"/>
    <w:rsid w:val="008D5B57"/>
    <w:rsid w:val="008F7D99"/>
    <w:rsid w:val="0090080D"/>
    <w:rsid w:val="00922FA7"/>
    <w:rsid w:val="00927301"/>
    <w:rsid w:val="009351E1"/>
    <w:rsid w:val="0094423A"/>
    <w:rsid w:val="0095219B"/>
    <w:rsid w:val="00963E2E"/>
    <w:rsid w:val="009774AD"/>
    <w:rsid w:val="00980F6F"/>
    <w:rsid w:val="00993788"/>
    <w:rsid w:val="009A173F"/>
    <w:rsid w:val="009C479E"/>
    <w:rsid w:val="009F4245"/>
    <w:rsid w:val="009F594D"/>
    <w:rsid w:val="00A009B3"/>
    <w:rsid w:val="00A239E7"/>
    <w:rsid w:val="00A34EDA"/>
    <w:rsid w:val="00A77ECE"/>
    <w:rsid w:val="00AA13D0"/>
    <w:rsid w:val="00AC0B18"/>
    <w:rsid w:val="00AC1D87"/>
    <w:rsid w:val="00AC2605"/>
    <w:rsid w:val="00AE136F"/>
    <w:rsid w:val="00AE6C82"/>
    <w:rsid w:val="00AE7A56"/>
    <w:rsid w:val="00AF0871"/>
    <w:rsid w:val="00AF530E"/>
    <w:rsid w:val="00AF5DFE"/>
    <w:rsid w:val="00B006E5"/>
    <w:rsid w:val="00B24234"/>
    <w:rsid w:val="00B3219F"/>
    <w:rsid w:val="00B42062"/>
    <w:rsid w:val="00B64D13"/>
    <w:rsid w:val="00B76725"/>
    <w:rsid w:val="00BC38D2"/>
    <w:rsid w:val="00BC65E4"/>
    <w:rsid w:val="00BE0A9F"/>
    <w:rsid w:val="00BF4880"/>
    <w:rsid w:val="00C01003"/>
    <w:rsid w:val="00C2317E"/>
    <w:rsid w:val="00C87860"/>
    <w:rsid w:val="00C92609"/>
    <w:rsid w:val="00C974A0"/>
    <w:rsid w:val="00CA0969"/>
    <w:rsid w:val="00CB7A14"/>
    <w:rsid w:val="00CC66CE"/>
    <w:rsid w:val="00CD1E0A"/>
    <w:rsid w:val="00CE40E2"/>
    <w:rsid w:val="00CE4AEB"/>
    <w:rsid w:val="00CE74CB"/>
    <w:rsid w:val="00D00B68"/>
    <w:rsid w:val="00D04E19"/>
    <w:rsid w:val="00D6644C"/>
    <w:rsid w:val="00D71F68"/>
    <w:rsid w:val="00D767F4"/>
    <w:rsid w:val="00DA07A0"/>
    <w:rsid w:val="00DB4A9A"/>
    <w:rsid w:val="00DB6F81"/>
    <w:rsid w:val="00DD3B82"/>
    <w:rsid w:val="00E02851"/>
    <w:rsid w:val="00E43F43"/>
    <w:rsid w:val="00E76594"/>
    <w:rsid w:val="00EA656B"/>
    <w:rsid w:val="00EB1FF2"/>
    <w:rsid w:val="00EB42AF"/>
    <w:rsid w:val="00EB49C8"/>
    <w:rsid w:val="00EE3598"/>
    <w:rsid w:val="00EE791B"/>
    <w:rsid w:val="00EF3292"/>
    <w:rsid w:val="00F040C7"/>
    <w:rsid w:val="00F04DC0"/>
    <w:rsid w:val="00F24BA1"/>
    <w:rsid w:val="00F45607"/>
    <w:rsid w:val="00F552F7"/>
    <w:rsid w:val="00F57EE2"/>
    <w:rsid w:val="00F67C07"/>
    <w:rsid w:val="00F777E1"/>
    <w:rsid w:val="00F80266"/>
    <w:rsid w:val="00F83E19"/>
    <w:rsid w:val="00FB3828"/>
    <w:rsid w:val="00FC7A52"/>
    <w:rsid w:val="00FE0761"/>
    <w:rsid w:val="00FF5166"/>
    <w:rsid w:val="06792773"/>
    <w:rsid w:val="1DAF458D"/>
    <w:rsid w:val="2687194E"/>
    <w:rsid w:val="2A053397"/>
    <w:rsid w:val="2D1136DF"/>
    <w:rsid w:val="31C63837"/>
    <w:rsid w:val="3D5275AC"/>
    <w:rsid w:val="46901EEE"/>
    <w:rsid w:val="469C74D2"/>
    <w:rsid w:val="50DB5F45"/>
    <w:rsid w:val="69AD798C"/>
    <w:rsid w:val="6B68175F"/>
    <w:rsid w:val="73FB6630"/>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9">
    <w:name w:val="Normal Table"/>
    <w:semiHidden/>
    <w:unhideWhenUsed/>
    <w:uiPriority w:val="99"/>
    <w:tblPr>
      <w:tblLayout w:type="fixed"/>
      <w:tblCellMar>
        <w:top w:w="0" w:type="dxa"/>
        <w:left w:w="108" w:type="dxa"/>
        <w:bottom w:w="0" w:type="dxa"/>
        <w:right w:w="108" w:type="dxa"/>
      </w:tblCellMar>
    </w:tblPr>
  </w:style>
  <w:style w:type="paragraph" w:styleId="2">
    <w:name w:val="annotation text"/>
    <w:basedOn w:val="1"/>
    <w:uiPriority w:val="0"/>
    <w:pPr>
      <w:jc w:val="left"/>
    </w:pPr>
  </w:style>
  <w:style w:type="paragraph" w:styleId="3">
    <w:name w:val="toc 3"/>
    <w:basedOn w:val="1"/>
    <w:next w:val="1"/>
    <w:uiPriority w:val="0"/>
    <w:pPr>
      <w:ind w:left="840" w:leftChars="400"/>
    </w:p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uiPriority w:val="0"/>
  </w:style>
  <w:style w:type="paragraph" w:styleId="7">
    <w:name w:val="toc 2"/>
    <w:basedOn w:val="1"/>
    <w:next w:val="1"/>
    <w:uiPriority w:val="0"/>
    <w:pPr>
      <w:ind w:left="420" w:leftChars="200"/>
    </w:pPr>
  </w:style>
  <w:style w:type="paragraph" w:customStyle="1" w:styleId="10">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1">
    <w:name w:val="WPSOffice手动目录 2"/>
    <w:uiPriority w:val="0"/>
    <w:pPr>
      <w:ind w:left="200" w:leftChars="200"/>
    </w:pPr>
    <w:rPr>
      <w:rFonts w:ascii="Times New Roman" w:hAnsi="Times New Roman" w:eastAsia="宋体" w:cs="Times New Roman"/>
      <w:lang w:val="en-US" w:eastAsia="zh-CN" w:bidi="ar-SA"/>
    </w:rPr>
  </w:style>
  <w:style w:type="paragraph" w:customStyle="1" w:styleId="12">
    <w:name w:val="WPSOffice手动目录 1"/>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1031</Words>
  <Characters>5881</Characters>
  <Lines>49</Lines>
  <Paragraphs>13</Paragraphs>
  <TotalTime>0</TotalTime>
  <ScaleCrop>false</ScaleCrop>
  <LinksUpToDate>false</LinksUpToDate>
  <CharactersWithSpaces>6899</CharactersWithSpaces>
  <Application>WPS Office_10.1.0.7520_F1E327BC-269C-435d-A152-05C5408002CA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2020-09-08T14:04:00Z</dcterms:created>
  <dc:creator>GXR</dc:creator>
  <cp:lastModifiedBy>Administrator</cp:lastModifiedBy>
  <dcterms:modified xsi:type="dcterms:W3CDTF">2020-10-04T04:23:00Z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