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新疆喀什地区麦盖提县财政局2019年度部门决算公开说明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1、贯彻执行国家、地方关于财税工作的方针政策等，起草与财税相关的规范性文件，并负责组织实施。</w:t>
      </w:r>
    </w:p>
    <w:p>
      <w:pPr>
        <w:ind w:firstLine="480"/>
        <w:jc w:val="both"/>
      </w:pPr>
      <w:r>
        <w:rPr>
          <w:rFonts w:ascii="仿宋_GB2312" w:hAnsi="仿宋_GB2312" w:cs="仿宋_GB2312" w:eastAsia="仿宋_GB2312"/>
          <w:b w:val="false"/>
          <w:sz w:val="32"/>
        </w:rPr>
        <w:t>2、拟定财政发展规划、改革方案及相关政策并组织实施。</w:t>
      </w:r>
    </w:p>
    <w:p>
      <w:pPr>
        <w:ind w:firstLine="480"/>
        <w:jc w:val="both"/>
      </w:pPr>
      <w:r>
        <w:rPr>
          <w:rFonts w:ascii="仿宋_GB2312" w:hAnsi="仿宋_GB2312" w:cs="仿宋_GB2312" w:eastAsia="仿宋_GB2312"/>
          <w:b w:val="false"/>
          <w:sz w:val="32"/>
        </w:rPr>
        <w:t>3、承担县级各项财政支管理工作的责任。</w:t>
      </w:r>
    </w:p>
    <w:p>
      <w:pPr>
        <w:ind w:firstLine="480"/>
        <w:jc w:val="both"/>
      </w:pPr>
      <w:r>
        <w:rPr>
          <w:rFonts w:ascii="仿宋_GB2312" w:hAnsi="仿宋_GB2312" w:cs="仿宋_GB2312" w:eastAsia="仿宋_GB2312"/>
          <w:b w:val="false"/>
          <w:sz w:val="32"/>
        </w:rPr>
        <w:t>4、落实国家、地方有关“三农”和农业综合开发方针、政策和本县农业综合开发相关工作。</w:t>
      </w:r>
    </w:p>
    <w:p>
      <w:pPr>
        <w:ind w:firstLine="480"/>
        <w:jc w:val="both"/>
      </w:pPr>
      <w:r>
        <w:rPr>
          <w:rFonts w:ascii="仿宋_GB2312" w:hAnsi="仿宋_GB2312" w:cs="仿宋_GB2312" w:eastAsia="仿宋_GB2312"/>
          <w:b w:val="false"/>
          <w:sz w:val="32"/>
        </w:rPr>
        <w:t>5、负责全县的金融组织贷款工作和涉外资金决算报表工作。</w:t>
      </w:r>
    </w:p>
    <w:p>
      <w:pPr>
        <w:ind w:firstLine="480"/>
        <w:jc w:val="both"/>
      </w:pPr>
      <w:r>
        <w:rPr>
          <w:rFonts w:ascii="仿宋_GB2312" w:hAnsi="仿宋_GB2312" w:cs="仿宋_GB2312" w:eastAsia="仿宋_GB2312"/>
          <w:b w:val="false"/>
          <w:sz w:val="32"/>
        </w:rPr>
        <w:t>6、负责地方政府非税收入管理、政府性基金管理、行政事业性收费管理、财政票据管理、彩票基金管理的政策和相关办法。</w:t>
      </w:r>
    </w:p>
    <w:p>
      <w:pPr>
        <w:ind w:firstLine="480"/>
        <w:jc w:val="both"/>
      </w:pPr>
      <w:r>
        <w:rPr>
          <w:rFonts w:ascii="仿宋_GB2312" w:hAnsi="仿宋_GB2312" w:cs="仿宋_GB2312" w:eastAsia="仿宋_GB2312"/>
          <w:b w:val="false"/>
          <w:sz w:val="32"/>
        </w:rPr>
        <w:t>7、负责组织制定地方国库管理制度、国库集中收付制度，指导和监督全县国库管理工作，拟定政府采购制度并监督管理。</w:t>
      </w:r>
    </w:p>
    <w:p>
      <w:pPr>
        <w:ind w:firstLine="480"/>
        <w:jc w:val="both"/>
      </w:pPr>
      <w:r>
        <w:rPr>
          <w:rFonts w:ascii="仿宋_GB2312" w:hAnsi="仿宋_GB2312" w:cs="仿宋_GB2312" w:eastAsia="仿宋_GB2312"/>
          <w:b w:val="false"/>
          <w:sz w:val="32"/>
        </w:rPr>
        <w:t>8、负责提出全县税收收入计划。</w:t>
      </w:r>
    </w:p>
    <w:p>
      <w:pPr>
        <w:ind w:firstLine="480"/>
        <w:jc w:val="both"/>
      </w:pPr>
      <w:r>
        <w:rPr>
          <w:rFonts w:ascii="仿宋_GB2312" w:hAnsi="仿宋_GB2312" w:cs="仿宋_GB2312" w:eastAsia="仿宋_GB2312"/>
          <w:b w:val="false"/>
          <w:sz w:val="32"/>
        </w:rPr>
        <w:t>9、负责行政事业单位国有资产管理。</w:t>
      </w:r>
    </w:p>
    <w:p>
      <w:pPr>
        <w:ind w:firstLine="480"/>
        <w:jc w:val="both"/>
      </w:pPr>
      <w:r>
        <w:rPr>
          <w:rFonts w:ascii="仿宋_GB2312" w:hAnsi="仿宋_GB2312" w:cs="仿宋_GB2312" w:eastAsia="仿宋_GB2312"/>
          <w:b w:val="false"/>
          <w:sz w:val="32"/>
        </w:rPr>
        <w:t>10、负责审核、汇总编制全县国有资本经营预决算草案，制定相关制度和办法，制定并组织实施企业财务制度，管理资产评估工作。</w:t>
      </w:r>
    </w:p>
    <w:p>
      <w:pPr>
        <w:ind w:firstLine="480"/>
        <w:jc w:val="both"/>
      </w:pPr>
      <w:r>
        <w:rPr>
          <w:rFonts w:ascii="仿宋_GB2312" w:hAnsi="仿宋_GB2312" w:cs="仿宋_GB2312" w:eastAsia="仿宋_GB2312"/>
          <w:b w:val="false"/>
          <w:sz w:val="32"/>
        </w:rPr>
        <w:t>11、负责办理和监督县本级财政经济发展支出、县级财政投资项目拨款，参与拟定政府建设投资相关的政策、制度等。</w:t>
      </w:r>
    </w:p>
    <w:p>
      <w:pPr>
        <w:ind w:firstLine="480"/>
        <w:jc w:val="both"/>
      </w:pPr>
      <w:r>
        <w:rPr>
          <w:rFonts w:ascii="仿宋_GB2312" w:hAnsi="仿宋_GB2312" w:cs="仿宋_GB2312" w:eastAsia="仿宋_GB2312"/>
          <w:b w:val="false"/>
          <w:sz w:val="32"/>
        </w:rPr>
        <w:t>12、会同有关部门管理县财政社会保障和就业及医疗支出，拟定相关财务管理制度，编制县级社会保障预决算草案。</w:t>
      </w:r>
    </w:p>
    <w:p>
      <w:pPr>
        <w:ind w:firstLine="480"/>
        <w:jc w:val="both"/>
      </w:pPr>
      <w:r>
        <w:rPr>
          <w:rFonts w:ascii="仿宋_GB2312" w:hAnsi="仿宋_GB2312" w:cs="仿宋_GB2312" w:eastAsia="仿宋_GB2312"/>
          <w:b w:val="false"/>
          <w:sz w:val="32"/>
        </w:rPr>
        <w:t>13、负责依法拟定地方政府性债务管理制度和办法，统一管理政府内外债务。</w:t>
      </w:r>
    </w:p>
    <w:p>
      <w:pPr>
        <w:ind w:firstLine="480"/>
        <w:jc w:val="both"/>
      </w:pPr>
      <w:r>
        <w:rPr>
          <w:rFonts w:ascii="仿宋_GB2312" w:hAnsi="仿宋_GB2312" w:cs="仿宋_GB2312" w:eastAsia="仿宋_GB2312"/>
          <w:b w:val="false"/>
          <w:sz w:val="32"/>
        </w:rPr>
        <w:t>14、负责监督和规范会计行为、组织实施统一的会计制度和其他相关工作，指导和管理社会审计。</w:t>
      </w:r>
    </w:p>
    <w:p>
      <w:pPr>
        <w:ind w:firstLine="480"/>
        <w:jc w:val="both"/>
      </w:pPr>
      <w:r>
        <w:rPr>
          <w:rFonts w:ascii="仿宋_GB2312" w:hAnsi="仿宋_GB2312" w:cs="仿宋_GB2312" w:eastAsia="仿宋_GB2312"/>
          <w:b w:val="false"/>
          <w:sz w:val="32"/>
        </w:rPr>
        <w:t>15、监督检查财税法规、政策的执行情况，反映收支管理中的重大问题，提出加强财政管理的政策建议。</w:t>
      </w:r>
    </w:p>
    <w:p>
      <w:pPr>
        <w:ind w:firstLine="480"/>
        <w:jc w:val="both"/>
      </w:pPr>
      <w:r>
        <w:rPr>
          <w:rFonts w:ascii="仿宋_GB2312" w:hAnsi="仿宋_GB2312" w:cs="仿宋_GB2312" w:eastAsia="仿宋_GB2312"/>
          <w:b w:val="false"/>
          <w:sz w:val="32"/>
        </w:rPr>
        <w:t>16、承担法律法规赋予的其他权利义务，承办县委、县人民政府及上级主管部门交办的其他事项。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新疆喀什地区麦盖提县财政局2019年度，实有人数106人，其中：在职人员82人，离休人员0人，退休人员24人。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从部门决算单位构成看，新疆喀什地区麦盖提县财政局部门决算包括：新疆喀什地区麦盖提县财政局决算。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1,659.42万元，与上年相比，减少2,227.59万元，下降57.31%，主要原因是：上级专项资金较去年大幅减少，其次18年易地扶贫搬迁债务化解资金1328.35万元，19年无此项资金。本年支出1,748.33万元，与上年相比，减少1,991.44万元，下降53.25%，主要原因是：上级专项资金较去年大幅减少，其次18年易地扶贫搬迁债务化解资金1328.35万元，19年无此项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2019年度本年收入1,659.42万元，其中：财政拨款收入1,624.44万元，占97.89%；上级补助收入0万元，占0%；事业收入0万元，占0%；经营收入0万元，占0%；附属单位上缴收入0万元，占0%；其他收入34.99万元，占2.11%。</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2019年度本年支出1,748.33万元，其中：基本支出1,527.17万元，占87.35%；项目支出221.15万元，占12.65%；上缴上级支出0万元，占0%；经营支出0万元，占0%；对附属单位补助支出0万元，占0%。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1,624.44万元，与上年相比，减少2,198.65万元，下降57.51%，主要原因是：上级专项资金较去年大幅减少，其次18年易地扶贫搬迁债务化解资金1328.35万元，19年无此项资金。财政拨款支出1,713.34万元，与上年相比，减少1,962.51万元，下降53.39%，主要原因是：上级专项资金较去年大幅减少，其次18年易地扶贫搬迁债务化解资金1328.35万元，19年无此项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1,720.22万元，决算数1,624.44万元，预决算差异率-5.57%，主要原因是：部分项目资金实际到位数较年初预算数有所减少，因此决算数小于年初预算数。财政拨款支出年初预算数1,720.22万元，决算数1,713.34万元，预决算差异率-0.4%，主要原因是：部分项目资金实际到位数较年初预算数有所减少，因此决算数小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2019年度一般公共预算财政拨款支出1,635.67万元。按功能分类科目项级科目公开，其中：</w:t>
      </w:r>
    </w:p>
    <w:p>
      <w:pPr>
        <w:ind w:firstLine="480"/>
        <w:jc w:val="both"/>
      </w:pPr>
      <w:r>
        <w:rPr>
          <w:rFonts w:ascii="仿宋_GB2312" w:hAnsi="仿宋_GB2312" w:cs="仿宋_GB2312" w:eastAsia="仿宋_GB2312"/>
          <w:b w:val="false"/>
          <w:sz w:val="32"/>
        </w:rPr>
        <w:t xml:space="preserve">   2010301行政运行支出43.20万元；</w:t>
      </w:r>
    </w:p>
    <w:p>
      <w:pPr>
        <w:ind w:firstLine="480"/>
        <w:jc w:val="both"/>
      </w:pPr>
      <w:r>
        <w:rPr>
          <w:rFonts w:ascii="仿宋_GB2312" w:hAnsi="仿宋_GB2312" w:cs="仿宋_GB2312" w:eastAsia="仿宋_GB2312"/>
          <w:b w:val="false"/>
          <w:sz w:val="32"/>
        </w:rPr>
        <w:t xml:space="preserve">   2010601行政运行支出1,315.75万元；</w:t>
      </w:r>
    </w:p>
    <w:p>
      <w:pPr>
        <w:ind w:firstLine="480"/>
        <w:jc w:val="both"/>
      </w:pPr>
      <w:r>
        <w:rPr>
          <w:rFonts w:ascii="仿宋_GB2312" w:hAnsi="仿宋_GB2312" w:cs="仿宋_GB2312" w:eastAsia="仿宋_GB2312"/>
          <w:b w:val="false"/>
          <w:sz w:val="32"/>
        </w:rPr>
        <w:t xml:space="preserve">   2010699其他财政事务支出2.98万元；</w:t>
      </w:r>
    </w:p>
    <w:p>
      <w:pPr>
        <w:ind w:firstLine="480"/>
        <w:jc w:val="both"/>
      </w:pPr>
      <w:r>
        <w:rPr>
          <w:rFonts w:ascii="仿宋_GB2312" w:hAnsi="仿宋_GB2312" w:cs="仿宋_GB2312" w:eastAsia="仿宋_GB2312"/>
          <w:b w:val="false"/>
          <w:sz w:val="32"/>
        </w:rPr>
        <w:t xml:space="preserve">   2080505机关事业单位基本养老保险缴费支出96.02万元；</w:t>
      </w:r>
    </w:p>
    <w:p>
      <w:pPr>
        <w:ind w:firstLine="480"/>
        <w:jc w:val="both"/>
      </w:pPr>
      <w:r>
        <w:rPr>
          <w:rFonts w:ascii="仿宋_GB2312" w:hAnsi="仿宋_GB2312" w:cs="仿宋_GB2312" w:eastAsia="仿宋_GB2312"/>
          <w:b w:val="false"/>
          <w:sz w:val="32"/>
        </w:rPr>
        <w:t xml:space="preserve">   2130505生产发展支出60.67万元；</w:t>
      </w:r>
    </w:p>
    <w:p>
      <w:pPr>
        <w:ind w:firstLine="480"/>
        <w:jc w:val="both"/>
      </w:pPr>
      <w:r>
        <w:rPr>
          <w:rFonts w:ascii="仿宋_GB2312" w:hAnsi="仿宋_GB2312" w:cs="仿宋_GB2312" w:eastAsia="仿宋_GB2312"/>
          <w:b w:val="false"/>
          <w:sz w:val="32"/>
        </w:rPr>
        <w:t xml:space="preserve">   2210201住房公积金支出72.20万元；</w:t>
      </w:r>
    </w:p>
    <w:p>
      <w:pPr>
        <w:ind w:firstLine="480"/>
        <w:jc w:val="both"/>
      </w:pPr>
      <w:r>
        <w:rPr>
          <w:rFonts w:ascii="仿宋_GB2312" w:hAnsi="仿宋_GB2312" w:cs="仿宋_GB2312" w:eastAsia="仿宋_GB2312"/>
          <w:b w:val="false"/>
          <w:sz w:val="32"/>
        </w:rPr>
        <w:t xml:space="preserve">   2299901其他支出44.85万元。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2019年度一般公共预算财政拨款基本支出1,527.17万元，其中：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1,220.32万元，包括：基本工资、津贴补贴、奖金、机关事业单位基本养老保险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公用经费306.85万元，包括：办公费、印刷费、咨询费、手续费、水费、电费、邮电费、取暖费、差旅费、维修（护）费、劳务费、委托业务费、公务用车运行维护费。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6.80万元，比上年增加5.61万元，增长471.43%，主要原因是上级各类检查业务增加，车辆使用频繁，车辆运行维护费增加。其中，因公出国（境）费支出0万元，占0%，比上年增加0万元，增长0%，主要原因是与上年相比无变化，与上年一致；公务用车购置及运行维护费支出6.80万元，占100%，比上年增加5.61万元，增长471.43%，主要原因是上级各类检查业务增加，车辆使用频繁，车辆运行维护费增加；公务接待费支出0万元，占0%，比上年增加0万元，增长0%，主要原因是与上年相比无变化，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6.80万元，其中，公务用车购置费0万元，公务用车运行维护费6.80万元。公务用车运行维护费开支内容包括汽车油料、维护费、过桥过路费、保险等。公务用车购置数0辆，公务用车保有量3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6.24万元，决算数6.80万元，预决算差异率8.97%，主要原因是：上级各类检查业务增加，车辆使用频繁，预算追加车辆运行维护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6.24万元，决算数6.80万元，预决算差异率8.97%，主要原因是：上级各类检查业务增加，车辆使用频繁，预算追加车辆运行维护费，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0万元，与上年相比，减少100万元，下降100%，主要原因是：2019年度无政府性基金项目资金。政府性基金预算支出77.67万元，与上年相比，增加77.67万元，增长100%，主要原因是：18年彩票公益金项目100万元结转至19年，19年拨付77.67万元。</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财政局机关运行经费支出306.85万元，比上年增加214.77万元，增长233.24%，主要原因是在职人员增加，其次落实脱贫攻坚业务量较上年增加，导致各项办公及印刷费、邮电费、差旅费、日常维修费等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2019年度政府采购支出总额63.23万元，其中：政府采购货物支出63.23万元、政府采购工程支出0万元、政府采购服务支出0万元。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授予中小企业合同金额63.23万元，占政府采购支出总额的100%，其中：授予小微企业合同金额63.23万元，占政府采购支出总额的100%。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31,784.86（平方米），价值3,105.40万元。车辆3辆，价值47.21万元，其中：副部（省）级及以上领导用车0辆、主要领导干部用车0辆、机要通信用车0辆、应急保障用车0辆、执法执勤用车0辆、特种专业技术用车0辆、离退休干部用车0辆、其他用车3辆，其他用车主要是：一般公务用车；单位价值50万元以上通用设备2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209.88万元。预算绩效管理取得的成效：1、综合业务管理费项目：认真贯彻完成上级部门安排的各项工作任务，对单位各业务科室以及乡镇财政所各业务人员进行业务交流及培训，优化财政工作服务水平及质量，推进乡镇财政管理局综合管理工作快速精准完成。完成规范行政事业单位国库集中支付专用票据使用和管理职能。2、非税宽带费项目：非税系统网络服务有效保障地方财政收入应收，增长地方财政收入。非税系统安全有效运行,保障非税收入及时入库。3、财政大平台网络运行系统维护费项目：137个财政大平台使用单位，保障365天网络使用天数，保障财政局各网络线路正常运行，财政各业务系统正常运行，完成本年度政信息安全整改、测评，已完成部门预算、部门指标、国库集中业务整合项目开发工作。4、票据印刷费支出项目：票据股人员分门别类保管各类票据，票据售出信息记录在票据信息系统中，年中发送督办函，督促各使用票据单位及时核销票据，保障188个单位日常工作的票据使用。5、资产中心暖气费支出项目：完成了资产中心7727平方米,107个商铺间供暖工作，暖气费按合同约定支付完毕。发现的问题及原因：做好档案的归纳与整理，及时整理、收集、汇总，健全档案资料,项目中期阶段监督管理不到位，项目后期管理不够完善。下一步改进措施：加强项目档案管理，确保完整、准确、系统、安全及有效利用；进一步健全和完善财务管理制度及内部控制制度，创新管理手段，用新思路、新方法，改进完善财务管理方法，用制度管项目，用制度管资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mqt0Ta3oxP9J+zs3lrj4ow==" w:hash="ymYpWdc+KrNWdT7d/yasQNNhh/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