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0DAFC1" w14:textId="77777777" w:rsidR="008853A8" w:rsidRDefault="008853A8">
      <w:pPr>
        <w:rPr>
          <w:rFonts w:ascii="黑体" w:eastAsia="黑体" w:hAnsi="黑体"/>
          <w:sz w:val="32"/>
          <w:szCs w:val="32"/>
        </w:rPr>
      </w:pPr>
      <w:r>
        <w:rPr>
          <w:rFonts w:ascii="黑体" w:eastAsia="黑体" w:hAnsi="黑体" w:hint="eastAsia"/>
          <w:sz w:val="32"/>
          <w:szCs w:val="32"/>
        </w:rPr>
        <w:t>附件：</w:t>
      </w:r>
    </w:p>
    <w:p w14:paraId="611C3882" w14:textId="77777777" w:rsidR="008853A8" w:rsidRDefault="008853A8">
      <w:pPr>
        <w:jc w:val="center"/>
        <w:rPr>
          <w:rFonts w:ascii="方正小标宋_GBK" w:eastAsia="方正小标宋_GBK" w:hAnsi="宋体"/>
          <w:sz w:val="44"/>
          <w:szCs w:val="44"/>
        </w:rPr>
      </w:pPr>
    </w:p>
    <w:p w14:paraId="12B0B250" w14:textId="77777777" w:rsidR="008853A8" w:rsidRDefault="008853A8">
      <w:pPr>
        <w:jc w:val="center"/>
        <w:rPr>
          <w:rFonts w:ascii="方正小标宋_GBK" w:eastAsia="方正小标宋_GBK" w:hAnsi="宋体"/>
          <w:sz w:val="44"/>
          <w:szCs w:val="44"/>
        </w:rPr>
      </w:pPr>
    </w:p>
    <w:p w14:paraId="1FB56DCC" w14:textId="77777777" w:rsidR="008853A8" w:rsidRDefault="008853A8">
      <w:pPr>
        <w:jc w:val="center"/>
        <w:rPr>
          <w:rFonts w:ascii="方正小标宋_GBK" w:eastAsia="方正小标宋_GBK" w:hAnsi="宋体"/>
          <w:sz w:val="44"/>
          <w:szCs w:val="44"/>
        </w:rPr>
      </w:pPr>
    </w:p>
    <w:p w14:paraId="0E41F092" w14:textId="77777777" w:rsidR="008853A8" w:rsidRDefault="008853A8">
      <w:pPr>
        <w:jc w:val="center"/>
        <w:rPr>
          <w:rFonts w:ascii="方正小标宋_GBK" w:eastAsia="方正小标宋_GBK" w:hAnsi="宋体"/>
          <w:sz w:val="44"/>
          <w:szCs w:val="44"/>
        </w:rPr>
      </w:pPr>
    </w:p>
    <w:p w14:paraId="0ACE5469" w14:textId="35972067" w:rsidR="008853A8" w:rsidRDefault="00377EC6">
      <w:pPr>
        <w:jc w:val="center"/>
        <w:rPr>
          <w:rFonts w:ascii="方正小标宋_GBK" w:eastAsia="方正小标宋_GBK" w:hAnsi="宋体"/>
          <w:sz w:val="44"/>
          <w:szCs w:val="44"/>
        </w:rPr>
      </w:pPr>
      <w:r>
        <w:rPr>
          <w:rFonts w:ascii="方正小标宋_GBK" w:hAnsi="方正小标宋_GBK" w:cs="方正小标宋_GBK" w:eastAsia="方正小标宋_GBK"/>
          <w:sz w:val="44"/>
        </w:rPr>
        <w:t>新疆喀什地区麦盖提县人民代表大会常务委员会2019年度部门决算公开说明</w:t>
      </w:r>
    </w:p>
    <w:p w14:paraId="2888F532" w14:textId="77777777" w:rsidR="008853A8" w:rsidRDefault="00885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t>目 录</w:t>
      </w:r>
    </w:p>
    <w:p w14:paraId="293349B8" w14:textId="77777777" w:rsidR="008853A8" w:rsidRDefault="008853A8">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部门单位概况</w:t>
        </w:r>
      </w:hyperlink>
    </w:p>
    <w:p w14:paraId="2F9FE76B"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567" w:history="1">
        <w:r w:rsidR="008853A8">
          <w:rPr>
            <w:rFonts w:ascii="仿宋_GB2312" w:eastAsia="仿宋_GB2312" w:hAnsi="仿宋_GB2312" w:cs="仿宋_GB2312" w:hint="eastAsia"/>
            <w:bCs/>
            <w:kern w:val="0"/>
            <w:sz w:val="32"/>
            <w:szCs w:val="32"/>
          </w:rPr>
          <w:t>一、主要职能</w:t>
        </w:r>
      </w:hyperlink>
    </w:p>
    <w:p w14:paraId="247DC9F7"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 w:history="1">
        <w:r w:rsidR="008853A8">
          <w:rPr>
            <w:rFonts w:ascii="仿宋_GB2312" w:eastAsia="仿宋_GB2312" w:hAnsi="仿宋_GB2312" w:cs="仿宋_GB2312" w:hint="eastAsia"/>
            <w:bCs/>
            <w:kern w:val="0"/>
            <w:sz w:val="32"/>
            <w:szCs w:val="32"/>
          </w:rPr>
          <w:t>二、机构设置及人员情况</w:t>
        </w:r>
      </w:hyperlink>
    </w:p>
    <w:p w14:paraId="08B9D742" w14:textId="77777777" w:rsidR="008853A8" w:rsidRDefault="0088099A">
      <w:pPr>
        <w:pStyle w:val="TOC1"/>
        <w:tabs>
          <w:tab w:val="right" w:pos="8306"/>
        </w:tabs>
        <w:rPr>
          <w:rFonts w:ascii="仿宋_GB2312" w:eastAsia="仿宋_GB2312" w:hAnsi="仿宋_GB2312" w:cs="仿宋_GB2312"/>
          <w:b/>
          <w:bCs/>
          <w:sz w:val="32"/>
          <w:szCs w:val="32"/>
        </w:rPr>
      </w:pPr>
      <w:hyperlink w:anchor="_Toc29374" w:history="1">
        <w:r w:rsidR="008853A8">
          <w:rPr>
            <w:rFonts w:ascii="仿宋_GB2312" w:eastAsia="仿宋_GB2312" w:hAnsi="仿宋_GB2312" w:cs="仿宋_GB2312" w:hint="eastAsia"/>
            <w:b/>
            <w:bCs/>
            <w:sz w:val="32"/>
            <w:szCs w:val="32"/>
          </w:rPr>
          <w:t>第二部分 部门决算情况说明</w:t>
        </w:r>
      </w:hyperlink>
    </w:p>
    <w:p w14:paraId="5C83C03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5314" w:history="1">
        <w:r w:rsidR="008853A8">
          <w:rPr>
            <w:rFonts w:ascii="仿宋_GB2312" w:eastAsia="仿宋_GB2312" w:hAnsi="仿宋_GB2312" w:cs="仿宋_GB2312" w:hint="eastAsia"/>
            <w:bCs/>
            <w:kern w:val="0"/>
            <w:sz w:val="32"/>
            <w:szCs w:val="32"/>
          </w:rPr>
          <w:t>一、收入支出决算总体情况说明</w:t>
        </w:r>
      </w:hyperlink>
    </w:p>
    <w:p w14:paraId="4572C60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142" w:history="1">
        <w:r w:rsidR="008853A8">
          <w:rPr>
            <w:rFonts w:ascii="仿宋_GB2312" w:eastAsia="仿宋_GB2312" w:hAnsi="仿宋_GB2312" w:cs="仿宋_GB2312" w:hint="eastAsia"/>
            <w:bCs/>
            <w:kern w:val="0"/>
            <w:sz w:val="32"/>
            <w:szCs w:val="32"/>
          </w:rPr>
          <w:t>二、收入决算情况说明</w:t>
        </w:r>
      </w:hyperlink>
    </w:p>
    <w:p w14:paraId="5F2369D5"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3201" w:history="1">
        <w:r w:rsidR="008853A8">
          <w:rPr>
            <w:rFonts w:ascii="仿宋_GB2312" w:eastAsia="仿宋_GB2312" w:hAnsi="仿宋_GB2312" w:cs="仿宋_GB2312" w:hint="eastAsia"/>
            <w:bCs/>
            <w:kern w:val="0"/>
            <w:sz w:val="32"/>
            <w:szCs w:val="32"/>
          </w:rPr>
          <w:t>三、支出决算情况说明</w:t>
        </w:r>
      </w:hyperlink>
    </w:p>
    <w:p w14:paraId="6C9FFD2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6564" w:history="1">
        <w:r w:rsidR="008853A8">
          <w:rPr>
            <w:rFonts w:ascii="仿宋_GB2312" w:eastAsia="仿宋_GB2312" w:hAnsi="仿宋_GB2312" w:cs="仿宋_GB2312" w:hint="eastAsia"/>
            <w:bCs/>
            <w:kern w:val="0"/>
            <w:sz w:val="32"/>
            <w:szCs w:val="32"/>
          </w:rPr>
          <w:t>四、财政拨款收入支出决算总体情况说明</w:t>
        </w:r>
      </w:hyperlink>
    </w:p>
    <w:p w14:paraId="50C0774C"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0360" w:history="1">
        <w:r w:rsidR="008853A8">
          <w:rPr>
            <w:rFonts w:ascii="仿宋_GB2312" w:eastAsia="仿宋_GB2312" w:hAnsi="仿宋_GB2312" w:cs="仿宋_GB2312" w:hint="eastAsia"/>
            <w:bCs/>
            <w:kern w:val="0"/>
            <w:sz w:val="32"/>
            <w:szCs w:val="32"/>
          </w:rPr>
          <w:t>五、一般公共预算财政拨款支出决算情况说明</w:t>
        </w:r>
      </w:hyperlink>
    </w:p>
    <w:p w14:paraId="02AD714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0870" w:history="1">
        <w:r w:rsidR="008853A8">
          <w:rPr>
            <w:rFonts w:ascii="仿宋_GB2312" w:eastAsia="仿宋_GB2312" w:hAnsi="仿宋_GB2312" w:cs="仿宋_GB2312" w:hint="eastAsia"/>
            <w:bCs/>
            <w:kern w:val="0"/>
            <w:sz w:val="32"/>
            <w:szCs w:val="32"/>
          </w:rPr>
          <w:t>六、一般公共预算财政拨款基本支出决算情况说明</w:t>
        </w:r>
      </w:hyperlink>
    </w:p>
    <w:p w14:paraId="52DEB1D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518" w:history="1">
        <w:r w:rsidR="008853A8">
          <w:rPr>
            <w:rFonts w:ascii="仿宋_GB2312" w:eastAsia="仿宋_GB2312" w:hAnsi="仿宋_GB2312" w:cs="仿宋_GB2312" w:hint="eastAsia"/>
            <w:bCs/>
            <w:kern w:val="0"/>
            <w:sz w:val="32"/>
            <w:szCs w:val="32"/>
          </w:rPr>
          <w:t>七、一般公共预算财政拨款“三公”经费支出决算情况说明</w:t>
        </w:r>
      </w:hyperlink>
    </w:p>
    <w:p w14:paraId="445A50AA"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5810" w:history="1">
        <w:r w:rsidR="008853A8">
          <w:rPr>
            <w:rFonts w:ascii="仿宋_GB2312" w:eastAsia="仿宋_GB2312" w:hAnsi="仿宋_GB2312" w:cs="仿宋_GB2312" w:hint="eastAsia"/>
            <w:bCs/>
            <w:kern w:val="0"/>
            <w:sz w:val="32"/>
            <w:szCs w:val="32"/>
          </w:rPr>
          <w:t>八、政府性基金预算收入支出决算情况说明</w:t>
        </w:r>
      </w:hyperlink>
    </w:p>
    <w:p w14:paraId="57D5716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235" w:history="1">
        <w:r w:rsidR="008853A8">
          <w:rPr>
            <w:rFonts w:ascii="仿宋_GB2312" w:eastAsia="仿宋_GB2312" w:hAnsi="仿宋_GB2312" w:cs="仿宋_GB2312" w:hint="eastAsia"/>
            <w:bCs/>
            <w:kern w:val="0"/>
            <w:sz w:val="32"/>
            <w:szCs w:val="32"/>
          </w:rPr>
          <w:t>九、其他重要事项的情况说明</w:t>
        </w:r>
      </w:hyperlink>
    </w:p>
    <w:p w14:paraId="326B9E76"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14519" w:history="1">
        <w:r w:rsidR="008853A8">
          <w:rPr>
            <w:rFonts w:ascii="仿宋_GB2312" w:eastAsia="仿宋_GB2312" w:hAnsi="仿宋_GB2312" w:cs="仿宋_GB2312" w:hint="eastAsia"/>
            <w:sz w:val="32"/>
            <w:szCs w:val="32"/>
          </w:rPr>
          <w:t>（一）机关运行经费支出情况</w:t>
        </w:r>
      </w:hyperlink>
    </w:p>
    <w:p w14:paraId="65AAD0E2"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227" w:history="1">
        <w:r w:rsidR="008853A8">
          <w:rPr>
            <w:rFonts w:ascii="仿宋_GB2312" w:eastAsia="仿宋_GB2312" w:hAnsi="仿宋_GB2312" w:cs="仿宋_GB2312" w:hint="eastAsia"/>
            <w:sz w:val="32"/>
            <w:szCs w:val="32"/>
          </w:rPr>
          <w:t>（二）政府采购情况</w:t>
        </w:r>
      </w:hyperlink>
    </w:p>
    <w:p w14:paraId="651C5AE5" w14:textId="77777777" w:rsidR="008853A8" w:rsidRDefault="0088099A">
      <w:pPr>
        <w:pStyle w:val="TOC3"/>
        <w:tabs>
          <w:tab w:val="right" w:pos="8306"/>
        </w:tabs>
        <w:ind w:leftChars="0" w:left="0"/>
        <w:rPr>
          <w:rFonts w:ascii="仿宋_GB2312" w:eastAsia="仿宋_GB2312" w:hAnsi="仿宋_GB2312" w:cs="仿宋_GB2312"/>
          <w:sz w:val="32"/>
          <w:szCs w:val="32"/>
        </w:rPr>
      </w:pPr>
      <w:hyperlink w:anchor="_Toc8391" w:history="1">
        <w:r w:rsidR="008853A8">
          <w:rPr>
            <w:rFonts w:ascii="仿宋_GB2312" w:eastAsia="仿宋_GB2312" w:hAnsi="仿宋_GB2312" w:cs="仿宋_GB2312" w:hint="eastAsia"/>
            <w:sz w:val="32"/>
            <w:szCs w:val="32"/>
          </w:rPr>
          <w:t>（三）国有资产占用情况说明</w:t>
        </w:r>
      </w:hyperlink>
    </w:p>
    <w:p w14:paraId="0BD7F98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1283" w:history="1">
        <w:r w:rsidR="008853A8">
          <w:rPr>
            <w:rFonts w:ascii="仿宋_GB2312" w:eastAsia="仿宋_GB2312" w:hAnsi="仿宋_GB2312" w:cs="仿宋_GB2312" w:hint="eastAsia"/>
            <w:bCs/>
            <w:kern w:val="0"/>
            <w:sz w:val="32"/>
            <w:szCs w:val="32"/>
          </w:rPr>
          <w:t>十、预算绩效的情况说明</w:t>
        </w:r>
      </w:hyperlink>
    </w:p>
    <w:p w14:paraId="778B9C6E" w14:textId="77777777" w:rsidR="008853A8" w:rsidRDefault="0088099A">
      <w:pPr>
        <w:pStyle w:val="TOC1"/>
        <w:tabs>
          <w:tab w:val="right" w:pos="8306"/>
        </w:tabs>
        <w:rPr>
          <w:rFonts w:ascii="仿宋_GB2312" w:eastAsia="仿宋_GB2312" w:hAnsi="仿宋_GB2312" w:cs="仿宋_GB2312"/>
          <w:b/>
          <w:bCs/>
          <w:sz w:val="32"/>
          <w:szCs w:val="32"/>
        </w:rPr>
      </w:pPr>
      <w:hyperlink w:anchor="_Toc3250" w:history="1">
        <w:r w:rsidR="008853A8">
          <w:rPr>
            <w:rFonts w:ascii="仿宋_GB2312" w:eastAsia="仿宋_GB2312" w:hAnsi="仿宋_GB2312" w:cs="仿宋_GB2312" w:hint="eastAsia"/>
            <w:b/>
            <w:bCs/>
            <w:sz w:val="32"/>
            <w:szCs w:val="32"/>
          </w:rPr>
          <w:t>第三部分 专业名词解释</w:t>
        </w:r>
      </w:hyperlink>
    </w:p>
    <w:p w14:paraId="41FD2E9B" w14:textId="77777777" w:rsidR="008853A8" w:rsidRDefault="0088099A">
      <w:pPr>
        <w:pStyle w:val="TOC1"/>
        <w:tabs>
          <w:tab w:val="right" w:pos="8306"/>
        </w:tabs>
        <w:rPr>
          <w:rFonts w:ascii="仿宋_GB2312" w:eastAsia="仿宋_GB2312" w:hAnsi="仿宋_GB2312" w:cs="仿宋_GB2312"/>
          <w:b/>
          <w:bCs/>
          <w:sz w:val="32"/>
          <w:szCs w:val="32"/>
        </w:rPr>
      </w:pPr>
      <w:hyperlink w:anchor="_Toc22784" w:history="1">
        <w:r w:rsidR="008853A8">
          <w:rPr>
            <w:rFonts w:ascii="仿宋_GB2312" w:eastAsia="仿宋_GB2312" w:hAnsi="仿宋_GB2312" w:cs="仿宋_GB2312" w:hint="eastAsia"/>
            <w:b/>
            <w:bCs/>
            <w:sz w:val="32"/>
            <w:szCs w:val="32"/>
          </w:rPr>
          <w:t>第四部分 部门决算报表（见附表）</w:t>
        </w:r>
      </w:hyperlink>
    </w:p>
    <w:p w14:paraId="28F1D9E2"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183" w:history="1">
        <w:r w:rsidR="008853A8">
          <w:rPr>
            <w:rFonts w:ascii="仿宋_GB2312" w:eastAsia="仿宋_GB2312" w:hAnsi="仿宋_GB2312" w:cs="仿宋_GB2312" w:hint="eastAsia"/>
            <w:bCs/>
            <w:kern w:val="0"/>
            <w:sz w:val="32"/>
            <w:szCs w:val="32"/>
          </w:rPr>
          <w:t>一、《收入支出决算总表》</w:t>
        </w:r>
      </w:hyperlink>
    </w:p>
    <w:p w14:paraId="61408A5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4532" w:history="1">
        <w:r w:rsidR="008853A8">
          <w:rPr>
            <w:rFonts w:ascii="仿宋_GB2312" w:eastAsia="仿宋_GB2312" w:hAnsi="仿宋_GB2312" w:cs="仿宋_GB2312" w:hint="eastAsia"/>
            <w:bCs/>
            <w:kern w:val="0"/>
            <w:sz w:val="32"/>
            <w:szCs w:val="32"/>
          </w:rPr>
          <w:t>二、《收入决算表》</w:t>
        </w:r>
      </w:hyperlink>
    </w:p>
    <w:p w14:paraId="04072FC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32434" w:history="1">
        <w:r w:rsidR="008853A8">
          <w:rPr>
            <w:rFonts w:ascii="仿宋_GB2312" w:eastAsia="仿宋_GB2312" w:hAnsi="仿宋_GB2312" w:cs="仿宋_GB2312" w:hint="eastAsia"/>
            <w:bCs/>
            <w:kern w:val="0"/>
            <w:sz w:val="32"/>
            <w:szCs w:val="32"/>
          </w:rPr>
          <w:t>三、《支出决算表》</w:t>
        </w:r>
      </w:hyperlink>
    </w:p>
    <w:p w14:paraId="22BFA8ED"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8786" w:history="1">
        <w:r w:rsidR="008853A8">
          <w:rPr>
            <w:rFonts w:ascii="仿宋_GB2312" w:eastAsia="仿宋_GB2312" w:hAnsi="仿宋_GB2312" w:cs="仿宋_GB2312" w:hint="eastAsia"/>
            <w:bCs/>
            <w:kern w:val="0"/>
            <w:sz w:val="32"/>
            <w:szCs w:val="32"/>
          </w:rPr>
          <w:t>四、《财政拨款收入支出决算总表》</w:t>
        </w:r>
      </w:hyperlink>
    </w:p>
    <w:p w14:paraId="2DC04D36"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14869" w:history="1">
        <w:r w:rsidR="008853A8">
          <w:rPr>
            <w:rFonts w:ascii="仿宋_GB2312" w:eastAsia="仿宋_GB2312" w:hAnsi="仿宋_GB2312" w:cs="仿宋_GB2312" w:hint="eastAsia"/>
            <w:bCs/>
            <w:kern w:val="0"/>
            <w:sz w:val="32"/>
            <w:szCs w:val="32"/>
          </w:rPr>
          <w:t>五、《一般公共预算财政拨款支出决算表》</w:t>
        </w:r>
      </w:hyperlink>
    </w:p>
    <w:p w14:paraId="455EE489"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8884" w:history="1">
        <w:r w:rsidR="008853A8">
          <w:rPr>
            <w:rFonts w:ascii="仿宋_GB2312" w:eastAsia="仿宋_GB2312" w:hAnsi="仿宋_GB2312" w:cs="仿宋_GB2312" w:hint="eastAsia"/>
            <w:bCs/>
            <w:kern w:val="0"/>
            <w:sz w:val="32"/>
            <w:szCs w:val="32"/>
          </w:rPr>
          <w:t>六、《一般公共预算财政拨款基本支出决算表》</w:t>
        </w:r>
      </w:hyperlink>
    </w:p>
    <w:p w14:paraId="64724664"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29106" w:history="1">
        <w:r w:rsidR="008853A8">
          <w:rPr>
            <w:rFonts w:ascii="仿宋_GB2312" w:eastAsia="仿宋_GB2312" w:hAnsi="仿宋_GB2312" w:cs="仿宋_GB2312" w:hint="eastAsia"/>
            <w:bCs/>
            <w:kern w:val="0"/>
            <w:sz w:val="32"/>
            <w:szCs w:val="32"/>
          </w:rPr>
          <w:t>七、《一般公共预算财政拨款“三公”经费支出决算表》</w:t>
        </w:r>
      </w:hyperlink>
    </w:p>
    <w:p w14:paraId="0F035661" w14:textId="77777777" w:rsidR="008853A8" w:rsidRDefault="0088099A">
      <w:pPr>
        <w:pStyle w:val="TOC2"/>
        <w:tabs>
          <w:tab w:val="right" w:pos="8306"/>
        </w:tabs>
        <w:ind w:leftChars="0" w:left="0"/>
        <w:rPr>
          <w:rFonts w:ascii="仿宋_GB2312" w:eastAsia="仿宋_GB2312" w:hAnsi="仿宋_GB2312" w:cs="仿宋_GB2312"/>
          <w:sz w:val="32"/>
          <w:szCs w:val="32"/>
        </w:rPr>
      </w:pPr>
      <w:hyperlink w:anchor="_Toc7643" w:history="1">
        <w:r w:rsidR="008853A8">
          <w:rPr>
            <w:rFonts w:ascii="仿宋_GB2312" w:eastAsia="仿宋_GB2312" w:hAnsi="仿宋_GB2312" w:cs="仿宋_GB2312" w:hint="eastAsia"/>
            <w:bCs/>
            <w:kern w:val="0"/>
            <w:sz w:val="32"/>
            <w:szCs w:val="32"/>
          </w:rPr>
          <w:t>八、《政府性基金预算财政拨款收入支出决算表》</w:t>
        </w:r>
      </w:hyperlink>
    </w:p>
    <w:p w14:paraId="0E1577DF" w14:textId="77777777" w:rsidR="008853A8" w:rsidRDefault="008853A8">
      <w:r>
        <w:rPr>
          <w:rFonts w:ascii="仿宋_GB2312" w:eastAsia="仿宋_GB2312" w:hAnsi="仿宋_GB2312" w:cs="仿宋_GB2312" w:hint="eastAsia"/>
          <w:sz w:val="32"/>
          <w:szCs w:val="32"/>
        </w:rPr>
        <w:fldChar w:fldCharType="end"/>
      </w:r>
    </w:p>
    <w:p w14:paraId="68A45511" w14:textId="77777777" w:rsidR="008853A8" w:rsidRDefault="00885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0" w:name="_Toc24028"/>
      <w:bookmarkStart w:id="1" w:name="_Toc32314"/>
      <w:r>
        <w:rPr>
          <w:rFonts w:ascii="黑体" w:eastAsia="黑体" w:hAnsi="黑体" w:hint="eastAsia"/>
          <w:sz w:val="32"/>
          <w:szCs w:val="32"/>
        </w:rPr>
        <w:t>第一部分 部门单位概况</w:t>
      </w:r>
      <w:bookmarkEnd w:id="0"/>
      <w:bookmarkEnd w:id="1"/>
    </w:p>
    <w:p w14:paraId="036049B7" w14:textId="77777777" w:rsidR="008853A8" w:rsidRDefault="008853A8">
      <w:pPr>
        <w:ind w:firstLineChars="200" w:firstLine="640"/>
        <w:outlineLvl w:val="1"/>
        <w:rPr>
          <w:rFonts w:ascii="黑体" w:eastAsia="黑体" w:hAnsi="黑体" w:cs="宋体"/>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pPr>
        <w:ind w:firstLine="480"/>
        <w:jc w:val="both"/>
      </w:pPr>
      <w:r>
        <w:rPr>
          <w:rFonts w:ascii="仿宋_GB2312" w:hAnsi="仿宋_GB2312" w:cs="仿宋_GB2312" w:eastAsia="仿宋_GB2312"/>
          <w:b w:val="false"/>
          <w:sz w:val="32"/>
        </w:rPr>
        <w:t>县级以上地方各级人民代表大会常务委员会，是本级人民代表大会的常设机关，对本级人民代表大会负责并报告工作，是地方国家权力机关的组成部分。其职权主要有：</w:t>
      </w:r>
    </w:p>
    <w:p>
      <w:pPr>
        <w:ind w:firstLine="480"/>
        <w:jc w:val="both"/>
      </w:pPr>
      <w:r>
        <w:rPr>
          <w:rFonts w:ascii="仿宋_GB2312" w:hAnsi="仿宋_GB2312" w:cs="仿宋_GB2312" w:eastAsia="仿宋_GB2312"/>
          <w:b w:val="false"/>
          <w:sz w:val="32"/>
        </w:rPr>
        <w:t>1、监督、检查宪法、法律、行政法规以及全国、省、市、县级人民代表大会及其常委会的决议、决定在本行政区域内的贯彻执行。</w:t>
      </w:r>
    </w:p>
    <w:p>
      <w:pPr>
        <w:ind w:firstLine="480"/>
        <w:jc w:val="both"/>
      </w:pPr>
      <w:r>
        <w:rPr>
          <w:rFonts w:ascii="仿宋_GB2312" w:hAnsi="仿宋_GB2312" w:cs="仿宋_GB2312" w:eastAsia="仿宋_GB2312"/>
          <w:b w:val="false"/>
          <w:sz w:val="32"/>
        </w:rPr>
        <w:t>2、领导或者主持本级人民代表大会代表的选举；召集本级人民代表大会。</w:t>
      </w:r>
    </w:p>
    <w:p>
      <w:pPr>
        <w:ind w:firstLine="480"/>
        <w:jc w:val="both"/>
      </w:pPr>
      <w:r>
        <w:rPr>
          <w:rFonts w:ascii="仿宋_GB2312" w:hAnsi="仿宋_GB2312" w:cs="仿宋_GB2312" w:eastAsia="仿宋_GB2312"/>
          <w:b w:val="false"/>
          <w:sz w:val="32"/>
        </w:rPr>
        <w:t>3、讨论、决定本行政区域内的政治、经济、教育、科学、文化、卫生、环境和资源保护、民政、民族等工作的重大事项；根据县人民政府的建议，决定对本行政区域内的国民经济和社会发展计划、财政预算的部分变更。</w:t>
      </w:r>
    </w:p>
    <w:p>
      <w:pPr>
        <w:ind w:firstLine="480"/>
        <w:jc w:val="both"/>
      </w:pPr>
      <w:r>
        <w:rPr>
          <w:rFonts w:ascii="仿宋_GB2312" w:hAnsi="仿宋_GB2312" w:cs="仿宋_GB2312" w:eastAsia="仿宋_GB2312"/>
          <w:b w:val="false"/>
          <w:sz w:val="32"/>
        </w:rPr>
        <w:t>4、监督县人民政府、县人民法院和县人民检察院的工作，联系县人民代表大会代表，受理人民群众对上述机关和国家工作人员的申诉和意见；撤消下一级人民代表大会的不适当的决议和县人民政府不适当的决定和命令。</w:t>
      </w:r>
    </w:p>
    <w:p>
      <w:pPr>
        <w:ind w:firstLine="480"/>
        <w:jc w:val="both"/>
      </w:pPr>
      <w:r>
        <w:rPr>
          <w:rFonts w:ascii="仿宋_GB2312" w:hAnsi="仿宋_GB2312" w:cs="仿宋_GB2312" w:eastAsia="仿宋_GB2312"/>
          <w:b w:val="false"/>
          <w:sz w:val="32"/>
        </w:rPr>
        <w:t>5、在县人民代表大会闭会期间，决定副县长的个别任免和县人民政府组成部门的局长、主任的任免；通过任免县人大常委会办事机构的主任、副主任和县人民法院副院长、庭长、副庭长、审判委员会委员、审判员及县人民检察院副检察长、检察委员会委员、检察员；在县人民政府县长、县人民法院院长、县人民检察院检察长因故不能担任职务或缺位时，从本级人民政府、人民法院、人民检察院副职领导人员中决定代理人选；补选上一级人民代表大会出缺的代表和罢免个别代表。</w:t>
      </w:r>
    </w:p>
    <w:p>
      <w:pPr>
        <w:ind w:firstLine="480"/>
        <w:jc w:val="both"/>
      </w:pPr>
      <w:r>
        <w:rPr>
          <w:rFonts w:ascii="仿宋_GB2312" w:hAnsi="仿宋_GB2312" w:cs="仿宋_GB2312" w:eastAsia="仿宋_GB2312"/>
          <w:b w:val="false"/>
          <w:sz w:val="32"/>
        </w:rPr>
        <w:t>6、联系乡镇人民代表大会主席团，了解情况，指导工作，总结交流经验。</w:t>
      </w:r>
    </w:p>
    <w:p>
      <w:pPr>
        <w:ind w:firstLine="480"/>
        <w:jc w:val="both"/>
      </w:pPr>
      <w:r>
        <w:rPr>
          <w:rFonts w:ascii="仿宋_GB2312" w:hAnsi="仿宋_GB2312" w:cs="仿宋_GB2312" w:eastAsia="仿宋_GB2312"/>
          <w:b w:val="false"/>
          <w:sz w:val="32"/>
        </w:rPr>
        <w:t>7、督促、检查“一府两院”办理各级人大代表提出的建议、意见、议案工作和信访案件查结工作。</w:t>
      </w:r>
    </w:p>
    <w:p>
      <w:pPr>
        <w:ind w:firstLine="480"/>
        <w:jc w:val="both"/>
      </w:pPr>
      <w:r>
        <w:rPr>
          <w:rFonts w:ascii="仿宋_GB2312" w:hAnsi="仿宋_GB2312" w:cs="仿宋_GB2312" w:eastAsia="仿宋_GB2312"/>
          <w:b w:val="false"/>
          <w:sz w:val="32"/>
        </w:rPr>
        <w:t>8、承办上级人大常委会和县委交办的其他工作。</w:t>
      </w:r>
    </w:p>
    <w:p w14:paraId="22BD2715" w14:textId="3A98898C" w:rsidR="008853A8" w:rsidRDefault="008853A8">
      <w:pPr>
        <w:ind w:firstLineChars="200" w:firstLine="640"/>
        <w:outlineLvl w:val="1"/>
        <w:rPr>
          <w:rFonts w:ascii="黑体" w:eastAsia="黑体" w:hAnsi="黑体" w:cs="宋体"/>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8E18313" w14:textId="72E3148E" w:rsidR="001F777A" w:rsidRPr="001F777A" w:rsidRDefault="001F777A" w:rsidP="001F777A">
      <w:pPr>
        <w:ind w:firstLineChars="200" w:firstLine="640"/>
      </w:pPr>
      <w:r>
        <w:rPr>
          <w:rFonts w:ascii="仿宋_GB2312" w:hAnsi="仿宋_GB2312" w:cs="仿宋_GB2312" w:eastAsia="仿宋_GB2312"/>
          <w:sz w:val="32"/>
        </w:rPr>
        <w:t>新疆喀什地区麦盖提县人民代表大会常务委员会2019年度，实有人数53人，其中：在职人员23人，离休人员0人，退休人员30人。</w:t>
      </w:r>
    </w:p>
    <w:p w14:paraId="65B8FE61" w14:textId="77777777" w:rsidR="00862395" w:rsidRDefault="00862395" w:rsidP="00862395">
      <w:pPr>
        <w:ind w:firstLineChars="200" w:firstLine="640"/>
        <w:rPr>
          <w:rFonts w:ascii="仿宋_GB2312" w:eastAsia="仿宋_GB2312"/>
          <w:sz w:val="32"/>
          <w:szCs w:val="32"/>
        </w:rPr>
      </w:pPr>
      <w:r>
        <w:rPr>
          <w:rFonts w:ascii="仿宋_GB2312" w:hAnsi="仿宋_GB2312" w:cs="仿宋_GB2312" w:eastAsia="仿宋_GB2312"/>
          <w:sz w:val="32"/>
        </w:rPr>
        <w:t>从部门决算单位构成看，新疆喀什地区麦盖提县人民代表大会常务委员会部门决算包括：新疆喀什地区麦盖提县人民代表大会常务委员会决算。</w:t>
      </w:r>
    </w:p>
    <w:p w14:paraId="2C581B27" w14:textId="77777777" w:rsidR="008853A8" w:rsidRDefault="008853A8">
      <w:pPr>
        <w:ind w:firstLineChars="200" w:firstLine="640"/>
        <w:jc w:val="center"/>
        <w:outlineLvl w:val="0"/>
        <w:rPr>
          <w:rFonts w:ascii="黑体" w:eastAsia="黑体" w:hAnsi="黑体"/>
          <w:sz w:val="32"/>
          <w:szCs w:val="32"/>
        </w:rPr>
      </w:pPr>
      <w:bookmarkStart w:id="6" w:name="_Toc3092"/>
      <w:bookmarkStart w:id="7" w:name="_Toc29374"/>
      <w:r>
        <w:rPr>
          <w:rFonts w:ascii="黑体" w:eastAsia="黑体" w:hAnsi="黑体" w:hint="eastAsia"/>
          <w:sz w:val="32"/>
          <w:szCs w:val="32"/>
        </w:rPr>
        <w:t>第二部分 部门决算情况说明</w:t>
      </w:r>
      <w:bookmarkEnd w:id="6"/>
      <w:bookmarkEnd w:id="7"/>
    </w:p>
    <w:p w14:paraId="4B167492" w14:textId="77777777" w:rsidR="008853A8" w:rsidRDefault="008853A8">
      <w:pPr>
        <w:ind w:firstLineChars="200" w:firstLine="640"/>
        <w:outlineLvl w:val="1"/>
        <w:rPr>
          <w:rFonts w:ascii="黑体" w:eastAsia="黑体" w:hAnsi="黑体" w:cs="宋体"/>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782D0DE" w14:textId="3E55FEDD" w:rsidR="008853A8" w:rsidRDefault="007E3BFD">
      <w:pPr>
        <w:ind w:firstLineChars="200" w:firstLine="640"/>
        <w:rPr>
          <w:rFonts w:ascii="仿宋_GB2312" w:eastAsia="仿宋_GB2312"/>
          <w:sz w:val="32"/>
          <w:szCs w:val="32"/>
        </w:rPr>
      </w:pPr>
      <w:r>
        <w:rPr>
          <w:rFonts w:ascii="仿宋_GB2312" w:hAnsi="仿宋_GB2312" w:cs="仿宋_GB2312" w:eastAsia="仿宋_GB2312"/>
          <w:sz w:val="32"/>
        </w:rPr>
        <w:t>2019年度本年收入421.17万元，与上年相比，增加20.15万元，增长5.02%，主要原因是：人员正常晋升，社保及工资普调，同时发放绩效工资。本年支出421.16万元，与上年相比，增加20.26万元，增长5.05%，主要原因是：人员正常晋升，社保及工资普调，同时发放绩效工资。</w:t>
      </w:r>
    </w:p>
    <w:p w14:paraId="3093A798" w14:textId="77777777" w:rsidR="008853A8" w:rsidRDefault="008853A8">
      <w:pPr>
        <w:ind w:firstLineChars="200" w:firstLine="640"/>
        <w:outlineLvl w:val="1"/>
        <w:rPr>
          <w:rFonts w:ascii="黑体" w:eastAsia="黑体" w:hAnsi="黑体" w:cs="宋体"/>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B914EFB" w14:textId="75DF8F00" w:rsidR="008853A8" w:rsidRDefault="00125A6F">
      <w:pPr>
        <w:ind w:firstLineChars="200" w:firstLine="640"/>
        <w:rPr>
          <w:rFonts w:ascii="仿宋_GB2312" w:eastAsia="仿宋_GB2312"/>
          <w:sz w:val="32"/>
          <w:szCs w:val="32"/>
        </w:rPr>
      </w:pPr>
      <w:r>
        <w:rPr>
          <w:rFonts w:ascii="仿宋_GB2312" w:hAnsi="仿宋_GB2312" w:cs="仿宋_GB2312" w:eastAsia="仿宋_GB2312"/>
          <w:sz w:val="32"/>
        </w:rPr>
        <w:t>2019年度本年收入421.17万元，其中：财政拨款收入420.17万元，占99.76%；上级补助收入0万元，占0%；事业收入0万元，占0%；经营收入0万元，占0%；附属单位上缴收入0万元，占0%；其他收入1万元，占0.24%。</w:t>
      </w:r>
    </w:p>
    <w:p w14:paraId="008FC815" w14:textId="77777777" w:rsidR="008853A8" w:rsidRDefault="008853A8">
      <w:pPr>
        <w:ind w:firstLineChars="200" w:firstLine="640"/>
        <w:outlineLvl w:val="1"/>
        <w:rPr>
          <w:rFonts w:ascii="黑体" w:eastAsia="黑体" w:hAnsi="黑体" w:cs="宋体"/>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6FB7964" w14:textId="23D4D7B7" w:rsidR="008853A8" w:rsidRDefault="00233021">
      <w:pPr>
        <w:ind w:firstLineChars="200" w:firstLine="640"/>
        <w:rPr>
          <w:rFonts w:ascii="仿宋_GB2312" w:eastAsia="仿宋_GB2312"/>
          <w:sz w:val="32"/>
          <w:szCs w:val="32"/>
        </w:rPr>
      </w:pPr>
      <w:r>
        <w:rPr>
          <w:rFonts w:ascii="仿宋_GB2312" w:hAnsi="仿宋_GB2312" w:cs="仿宋_GB2312" w:eastAsia="仿宋_GB2312"/>
          <w:sz w:val="32"/>
        </w:rPr>
        <w:t>2019年度本年支出421.16万元，其中：基本支出414.29万元，占98.37%；项目支出6.86万元，占1.63%；上缴上级支出0万元，占0%；经营支出0万元，占0%；对附属单位补助支出0万元，占0%。</w:t>
      </w:r>
    </w:p>
    <w:p w14:paraId="186CA7CE" w14:textId="77777777" w:rsidR="008853A8" w:rsidRDefault="008853A8">
      <w:pPr>
        <w:ind w:firstLineChars="200" w:firstLine="640"/>
        <w:outlineLvl w:val="1"/>
        <w:rPr>
          <w:rFonts w:ascii="黑体" w:eastAsia="黑体" w:hAnsi="黑体" w:cs="宋体"/>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B6E4AD7" w14:textId="100B88EF" w:rsidR="008853A8" w:rsidRPr="001848EE" w:rsidRDefault="001C2D35">
      <w:pPr>
        <w:ind w:firstLineChars="200" w:firstLine="640"/>
        <w:rPr>
          <w:rFonts w:ascii="仿宋_GB2312" w:eastAsia="仿宋_GB2312"/>
          <w:sz w:val="32"/>
          <w:szCs w:val="32"/>
        </w:rPr>
      </w:pPr>
      <w:r>
        <w:rPr>
          <w:rFonts w:ascii="仿宋_GB2312" w:hAnsi="仿宋_GB2312" w:cs="仿宋_GB2312" w:eastAsia="仿宋_GB2312"/>
          <w:sz w:val="32"/>
        </w:rPr>
        <w:t>2019年度财政拨款收入420.17万元，与上年相比，增加36.93万元，增长9.64%，主要原因是：人员正常晋升，社保及工资普调，同时发放绩效工资。财政拨款支出420.29万元，与上年相比，增加37.17万元，增长9.7%，主要原因是：人员正常晋升，社保及工资普调，同时发放绩效工资。</w:t>
      </w:r>
    </w:p>
    <w:p w14:paraId="7139D063" w14:textId="11D128B6"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财政拨款收入年初预算数392.65万元，决算数420.17万元，预决算差异率7.01%，主要原因是：人员正常晋升，社保及工资普调，同时发放绩效工资，追加指标，因此决算数大于年初预算数。财政拨款支出年初预算数392.65万元，决算数420.29万元，预决算差异率7.04%，主要原因是：人员正常晋升，社保及工资普调，同时发放绩效工资，追加指标，因此决算数大于年初预算数。</w:t>
      </w:r>
    </w:p>
    <w:p w14:paraId="51FC69F3" w14:textId="77777777" w:rsidR="008853A8" w:rsidRDefault="008853A8">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B797ACC" w14:textId="2DDC565C" w:rsidR="008853A8" w:rsidRDefault="005529D0">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2019年度一般公共预算财政拨款支出420.29万元。按功能分类科目项级科目公开，其中：</w:t>
      </w:r>
    </w:p>
    <w:p>
      <w:pPr>
        <w:ind w:firstLine="480"/>
        <w:jc w:val="both"/>
      </w:pPr>
      <w:r>
        <w:rPr>
          <w:rFonts w:ascii="仿宋_GB2312" w:hAnsi="仿宋_GB2312" w:cs="仿宋_GB2312" w:eastAsia="仿宋_GB2312"/>
          <w:b w:val="false"/>
          <w:sz w:val="32"/>
        </w:rPr>
        <w:t xml:space="preserve">   2010101行政运行支出346.83万元；</w:t>
      </w:r>
    </w:p>
    <w:p>
      <w:pPr>
        <w:ind w:firstLine="480"/>
        <w:jc w:val="both"/>
      </w:pPr>
      <w:r>
        <w:rPr>
          <w:rFonts w:ascii="仿宋_GB2312" w:hAnsi="仿宋_GB2312" w:cs="仿宋_GB2312" w:eastAsia="仿宋_GB2312"/>
          <w:b w:val="false"/>
          <w:sz w:val="32"/>
        </w:rPr>
        <w:t xml:space="preserve">   2010199其他人大事务支出6万元；</w:t>
      </w:r>
    </w:p>
    <w:p>
      <w:pPr>
        <w:ind w:firstLine="480"/>
        <w:jc w:val="both"/>
      </w:pPr>
      <w:r>
        <w:rPr>
          <w:rFonts w:ascii="仿宋_GB2312" w:hAnsi="仿宋_GB2312" w:cs="仿宋_GB2312" w:eastAsia="仿宋_GB2312"/>
          <w:b w:val="false"/>
          <w:sz w:val="32"/>
        </w:rPr>
        <w:t xml:space="preserve">   2080505机关事业单位基本养老保险缴费支出33.67万元；</w:t>
      </w:r>
    </w:p>
    <w:p>
      <w:pPr>
        <w:ind w:firstLine="480"/>
        <w:jc w:val="both"/>
      </w:pPr>
      <w:r>
        <w:rPr>
          <w:rFonts w:ascii="仿宋_GB2312" w:hAnsi="仿宋_GB2312" w:cs="仿宋_GB2312" w:eastAsia="仿宋_GB2312"/>
          <w:b w:val="false"/>
          <w:sz w:val="32"/>
        </w:rPr>
        <w:t xml:space="preserve">   2080506机关事业单位职业年金缴费支出8.36万元；</w:t>
      </w:r>
    </w:p>
    <w:p>
      <w:pPr>
        <w:ind w:firstLine="480"/>
        <w:jc w:val="both"/>
      </w:pPr>
      <w:r>
        <w:rPr>
          <w:rFonts w:ascii="仿宋_GB2312" w:hAnsi="仿宋_GB2312" w:cs="仿宋_GB2312" w:eastAsia="仿宋_GB2312"/>
          <w:b w:val="false"/>
          <w:sz w:val="32"/>
        </w:rPr>
        <w:t xml:space="preserve">   2210201住房公积金支出25.43万元。</w:t>
      </w:r>
    </w:p>
    <w:p w14:paraId="049DFBB4" w14:textId="77777777" w:rsidR="008853A8" w:rsidRDefault="008853A8">
      <w:pPr>
        <w:ind w:firstLineChars="200" w:firstLine="640"/>
        <w:outlineLvl w:val="1"/>
        <w:rPr>
          <w:rFonts w:ascii="黑体" w:eastAsia="黑体" w:hAnsi="黑体" w:cs="宋体"/>
          <w:bCs/>
          <w:kern w:val="0"/>
          <w:sz w:val="32"/>
          <w:szCs w:val="32"/>
        </w:rPr>
      </w:pPr>
      <w:bookmarkStart w:id="18" w:name="_Toc11146"/>
      <w:bookmarkStart w:id="19" w:name="_Toc30870"/>
      <w:r>
        <w:rPr>
          <w:rFonts w:ascii="黑体" w:eastAsia="黑体" w:hAnsi="黑体" w:cs="宋体" w:hint="eastAsia"/>
          <w:bCs/>
          <w:kern w:val="0"/>
          <w:sz w:val="32"/>
          <w:szCs w:val="32"/>
        </w:rPr>
        <w:t>六、一般公共预算财政拨款基本支出决算情况说明</w:t>
      </w:r>
      <w:bookmarkEnd w:id="18"/>
      <w:bookmarkEnd w:id="19"/>
    </w:p>
    <w:p w14:paraId="3BCDD0A1" w14:textId="25AC9A26" w:rsidR="008853A8" w:rsidRDefault="005B1DE6">
      <w:pPr>
        <w:ind w:firstLineChars="200" w:firstLine="640"/>
        <w:rPr>
          <w:rFonts w:ascii="仿宋_GB2312" w:eastAsia="仿宋_GB2312"/>
          <w:sz w:val="32"/>
          <w:szCs w:val="32"/>
        </w:rPr>
      </w:pPr>
      <w:r>
        <w:rPr>
          <w:rFonts w:ascii="仿宋_GB2312" w:hAnsi="仿宋_GB2312" w:cs="仿宋_GB2312" w:eastAsia="仿宋_GB2312"/>
          <w:sz w:val="32"/>
        </w:rPr>
        <w:t>2019年度一般公共预算财政拨款基本支出414.29万元，其中：</w:t>
      </w:r>
    </w:p>
    <w:p w14:paraId="61C978B8" w14:textId="68C70B32"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人员经费380.18万元，包括：基本工资、津贴补贴、奖金、机关事业单位基本养老保险缴费、职业年金缴费、职工基本医疗保险缴费、公务员医疗补助缴费、其他社会保障缴费、住房公积金、其他工资福利支出、退休费、抚恤金、生活补助、奖励金、其他对个人和家庭的补助。</w:t>
      </w:r>
    </w:p>
    <w:p w14:paraId="09290895" w14:textId="4CFD8C08"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公用经费34.11万元，包括：办公费、印刷费、手续费、邮电费、取暖费、差旅费、会议费、公务用车运行维护费、其他交通费用、其他商品和服务支出。</w:t>
      </w:r>
    </w:p>
    <w:p w14:paraId="1F5CEF98" w14:textId="77777777" w:rsidR="008853A8" w:rsidRDefault="008853A8">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4B605590" w14:textId="2ECB7DD7" w:rsidR="008853A8" w:rsidRDefault="00340AE7">
      <w:pPr>
        <w:ind w:firstLineChars="200" w:firstLine="640"/>
        <w:rPr>
          <w:rFonts w:ascii="仿宋_GB2312" w:eastAsia="仿宋_GB2312"/>
          <w:sz w:val="32"/>
          <w:szCs w:val="32"/>
        </w:rPr>
      </w:pPr>
      <w:r>
        <w:rPr>
          <w:rFonts w:ascii="仿宋_GB2312" w:hAnsi="仿宋_GB2312" w:cs="仿宋_GB2312" w:eastAsia="仿宋_GB2312"/>
          <w:sz w:val="32"/>
        </w:rPr>
        <w:t>2019年度一般公共预算“三公”经费支出决算16.97万元，比上年减少8.87万元，降低34.33%，主要原因是厉行节约，压缩“三公”经费，严格执行因公派车制度，减少不必要的开支。其中，因公出国（境）费支出0万元，占0%，比上年增加0万元，增长0%，主要原因是与上年相比无变动，与上年一致；公务用车购置及运行维护费支出16.97万元，占100%，比上年减少8.87万元，降低34.33%，主要原因是厉行节约，压缩“三公”经费，严格执行因公派车制度，减少不必要的开支；公务接待费支出0万元，占0%，比上年增加0万元，增长0%，主要原因是与上年相比无变动，与上年一致。具体情况如下：</w:t>
      </w:r>
    </w:p>
    <w:p w14:paraId="49BF49C2" w14:textId="3BDB51C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因公出国（境）费支出0万元，开支内容包括：预算未安排，无此项支出。单位全年安排的因公出国（境）团组0个，因公出国（境）0人次。</w:t>
      </w:r>
    </w:p>
    <w:p w14:paraId="4A7D6627" w14:textId="2636864C"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用车购置及运行维护费16.97万元，其中，公务用车购置费0万元，公务用车运行维护费16.97万元。公务用车运行维护费开支内容包括车辆燃油费、维护费、过路费、保险费等。公务用车购置数0辆，公务用车保有量5辆。</w:t>
      </w:r>
    </w:p>
    <w:p w14:paraId="47C4B55E" w14:textId="65759774"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公务接待费0万元，开支内容包括预算未安排，无此项支出。单位全年安排的国内公务接待0批次，0人次。</w:t>
      </w:r>
    </w:p>
    <w:p w14:paraId="606EB0C3" w14:textId="1E9AC7CE"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与年初预算数相比情况：一般公共预算“三公”经费支出年初预算数15万元，决算数16.97万元，预决算差异率13.13%，主要原因是：车辆老旧，维修维护费增加，实际产生的费用较高，预算追加部分经费，因此决算数大于年初预预算数。其中：因公出国（境）费预算数0万元，决算数0万元，预决算差异率0%，主要原因是：预算未安排，也无相应支出，因此预决算无差异；公务用车购置费预算数0万元，决算数0万元，预决算差异率0%，主要原因是：预算未安排，也无相应支出，因此预决算无差异；公务用车运行费预算数15万元，决算数16.97万元，预决算差异率13.13%，主要原因是：车辆老旧，维修维护费增加，实际产生的费用较高，预算追加部分经费，因此决算数大于年初预预算数；公务接待费预算数0万元，决算数0万元，预决算差异率0%，主要原因是：预算未安排，也无相应支出，因此预决算无差异。</w:t>
      </w:r>
    </w:p>
    <w:p w14:paraId="11800BF9" w14:textId="2A0977DB" w:rsidR="008853A8" w:rsidRDefault="008853A8">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八、政府性基金预算收入支出决算情况说明</w:t>
      </w:r>
      <w:bookmarkEnd w:id="22"/>
      <w:bookmarkEnd w:id="23"/>
    </w:p>
    <w:p w14:paraId="1D95B262" w14:textId="74B49A74" w:rsidR="008853A8" w:rsidRPr="008F7D99" w:rsidRDefault="00922FA7">
      <w:pPr>
        <w:ind w:firstLineChars="200" w:firstLine="640"/>
        <w:rPr>
          <w:rFonts w:ascii="仿宋_GB2312" w:eastAsia="仿宋_GB2312"/>
          <w:color w:val="000000" w:themeColor="text1"/>
          <w:sz w:val="32"/>
          <w:szCs w:val="32"/>
        </w:rPr>
      </w:pPr>
      <w:r>
        <w:rPr>
          <w:rFonts w:ascii="仿宋_GB2312" w:hAnsi="仿宋_GB2312" w:cs="仿宋_GB2312" w:eastAsia="仿宋_GB2312"/>
          <w:sz w:val="32"/>
        </w:rPr>
        <w:t>我单位本年度无政府性基金预算财政拨款收入支出，政府性基金预算财政拨款收入支出决算表为空表。</w:t>
      </w:r>
    </w:p>
    <w:p w14:paraId="12E90A62" w14:textId="77777777" w:rsidR="008853A8" w:rsidRDefault="008853A8">
      <w:pPr>
        <w:ind w:firstLineChars="200" w:firstLine="640"/>
        <w:outlineLvl w:val="1"/>
        <w:rPr>
          <w:rFonts w:ascii="黑体" w:eastAsia="黑体" w:hAnsi="黑体" w:cs="宋体"/>
          <w:bCs/>
          <w:kern w:val="0"/>
          <w:sz w:val="32"/>
          <w:szCs w:val="32"/>
        </w:rPr>
      </w:pPr>
      <w:bookmarkStart w:id="24" w:name="_Toc7314"/>
      <w:bookmarkStart w:id="25" w:name="_Toc1235"/>
      <w:r>
        <w:rPr>
          <w:rFonts w:ascii="黑体" w:eastAsia="黑体" w:hAnsi="黑体" w:cs="宋体" w:hint="eastAsia"/>
          <w:bCs/>
          <w:kern w:val="0"/>
          <w:sz w:val="32"/>
          <w:szCs w:val="32"/>
        </w:rPr>
        <w:t>九、其他重要事项的情况说明</w:t>
      </w:r>
      <w:bookmarkEnd w:id="24"/>
      <w:bookmarkEnd w:id="25"/>
    </w:p>
    <w:p w14:paraId="11400E99" w14:textId="77777777" w:rsidR="008853A8" w:rsidRDefault="008853A8">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5A0F21C" w14:textId="3A75121C" w:rsidR="00553FB5" w:rsidRDefault="00553FB5">
      <w:pPr>
        <w:ind w:firstLineChars="200" w:firstLine="640"/>
        <w:rPr>
          <w:rFonts w:ascii="仿宋_GB2312" w:eastAsia="仿宋_GB2312"/>
          <w:sz w:val="32"/>
          <w:szCs w:val="32"/>
        </w:rPr>
      </w:pPr>
      <w:r>
        <w:rPr>
          <w:rFonts w:ascii="仿宋_GB2312" w:hAnsi="仿宋_GB2312" w:cs="仿宋_GB2312" w:eastAsia="仿宋_GB2312"/>
          <w:sz w:val="32"/>
        </w:rPr>
        <w:t>2019年度新疆喀什地区麦盖提县人民代表大会常务委员会机关运行经费支出34.11万元，比上年减少9.88万元，降低22.46%，主要原因是厉行节约，压缩一切不必要开支，公务用车运行维护费及各项日常办公经费较去年减少。</w:t>
      </w:r>
    </w:p>
    <w:p w14:paraId="72BCBEBD" w14:textId="77777777" w:rsidR="008853A8" w:rsidRDefault="008853A8">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DEE57E3" w14:textId="498B5E20" w:rsidR="008853A8" w:rsidRDefault="002122DE">
      <w:pPr>
        <w:ind w:firstLineChars="200" w:firstLine="640"/>
        <w:rPr>
          <w:rFonts w:ascii="仿宋_GB2312" w:eastAsia="仿宋_GB2312"/>
          <w:sz w:val="32"/>
          <w:szCs w:val="32"/>
        </w:rPr>
      </w:pPr>
      <w:r>
        <w:rPr>
          <w:rFonts w:ascii="仿宋_GB2312" w:hAnsi="仿宋_GB2312" w:cs="仿宋_GB2312" w:eastAsia="仿宋_GB2312"/>
          <w:sz w:val="32"/>
        </w:rPr>
        <w:t>2019年度政府采购支出总额2.62万元，其中：政府采购货物支出0万元、政府采购工程支出0万元、政府采购服务支出2.62万元。</w:t>
      </w:r>
    </w:p>
    <w:p w14:paraId="4BAE89CA" w14:textId="67110A70"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授予中小企业合同金额2.62万元，占政府采购支出总额的100%，其中：授予小微企业合同金额2.62万元，占政府采购支出总额的100%。</w:t>
      </w:r>
    </w:p>
    <w:p w14:paraId="01E8DA8F" w14:textId="77777777" w:rsidR="008853A8" w:rsidRDefault="008853A8">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14:paraId="5D15610F" w14:textId="67052147" w:rsidR="008853A8" w:rsidRDefault="008853A8">
      <w:pPr>
        <w:ind w:firstLineChars="200" w:firstLine="640"/>
        <w:rPr>
          <w:rFonts w:ascii="仿宋_GB2312" w:eastAsia="仿宋_GB2312"/>
          <w:sz w:val="32"/>
          <w:szCs w:val="32"/>
        </w:rPr>
      </w:pPr>
      <w:r>
        <w:rPr>
          <w:rFonts w:ascii="仿宋_GB2312" w:hAnsi="仿宋_GB2312" w:cs="仿宋_GB2312" w:eastAsia="仿宋_GB2312"/>
          <w:sz w:val="32"/>
        </w:rPr>
        <w:t>截止2019年12月31日，单位共有房屋0（平方米），价值0万元。车辆5辆，价值96.43万元，其中：副部（省）级及以上领导用车0辆、主要领导干部用车0辆、机要通信用车0辆、应急保障用车0辆、执法执勤用车0辆、特种专业技术用车0辆、离退休干部用车0辆、其他用车5辆，其他用车主要是：一般公务用车；单位价值50万元以上通用设备0台（套）、单位价值100万元以上专用设备0台（套）。</w:t>
      </w:r>
    </w:p>
    <w:p w14:paraId="183976BD" w14:textId="77777777" w:rsidR="008853A8" w:rsidRDefault="008853A8">
      <w:pPr>
        <w:ind w:firstLineChars="200" w:firstLine="640"/>
        <w:outlineLvl w:val="1"/>
        <w:rPr>
          <w:rFonts w:ascii="黑体" w:eastAsia="黑体" w:hAnsi="黑体" w:cs="宋体"/>
          <w:bCs/>
          <w:kern w:val="0"/>
          <w:sz w:val="32"/>
          <w:szCs w:val="32"/>
        </w:rPr>
      </w:pPr>
      <w:bookmarkStart w:id="32" w:name="_Toc435"/>
      <w:bookmarkStart w:id="33" w:name="_Toc11283"/>
      <w:r>
        <w:rPr>
          <w:rFonts w:ascii="黑体" w:eastAsia="黑体" w:hAnsi="黑体" w:cs="宋体" w:hint="eastAsia"/>
          <w:bCs/>
          <w:kern w:val="0"/>
          <w:sz w:val="32"/>
          <w:szCs w:val="32"/>
        </w:rPr>
        <w:t>十、预算绩效的情况说明</w:t>
      </w:r>
      <w:bookmarkEnd w:id="32"/>
      <w:bookmarkEnd w:id="33"/>
    </w:p>
    <w:p w14:paraId="6F8CE58F" w14:textId="5A0ABE11" w:rsidR="008853A8" w:rsidRDefault="0095219B">
      <w:pPr>
        <w:ind w:firstLineChars="200" w:firstLine="640"/>
        <w:rPr>
          <w:rFonts w:ascii="仿宋_GB2312" w:eastAsia="仿宋_GB2312"/>
          <w:sz w:val="32"/>
          <w:szCs w:val="32"/>
        </w:rPr>
      </w:pPr>
      <w:r>
        <w:rPr>
          <w:rFonts w:ascii="仿宋_GB2312" w:hAnsi="仿宋_GB2312" w:cs="仿宋_GB2312" w:eastAsia="仿宋_GB2312"/>
          <w:sz w:val="32"/>
        </w:rPr>
        <w:t>根据预算绩效管理要求，我单位2019年度开展预算绩效评价项目2个，共涉及资金6.86万元。预算绩效管理取得的成效：1、基层人大工作补助经费项目：完成2019年计划保障人大日常工作的正常运转；项目的实施有效提高人大代表工作，完成单位的日常运转。2、基层人大工作补助经费项目：完成购置办公桌6张及其他办公用品，有效保障了5辆公务用车正常运行维护，开展了人大常委会会议6次，保障常委会委员、人大代表参与调研、执法检查，保障了8名出差人员日常经费使用；项目的实施有效改善了办公条件，提高了人民代表大会常务委员会日常办公服务水平，保障了单位日常运转。发现的问题及原因：项目启动时同步做好档案的归纳与整理，及时整理、收集、汇总，健全档案资料；项目前期工作准备不够充分，项目中期阶段监督管理不到位，项目后期管理不够完善。下一步改进措施：加强项目档案管理，确保完整、准确、系统、安全及有效利用；坚持项目后期跟踪，及时发现和了解项目运行中存在的问题，增强资金的使用效益；进一步健全和完善财务管理制度及内部控制制度，创新管理手段，用新思路、新方法，改进完善财务管理方法，用制度管项目，用制度管资金。具体项目自评情况附项目支出绩效自评表。</w:t>
      </w:r>
    </w:p>
    <w:p w14:paraId="0B4F81EF" w14:textId="77777777" w:rsidR="008853A8" w:rsidRDefault="008853A8">
      <w:pPr>
        <w:ind w:firstLineChars="200" w:firstLine="640"/>
        <w:jc w:val="center"/>
        <w:outlineLvl w:val="0"/>
        <w:rPr>
          <w:rFonts w:ascii="黑体" w:eastAsia="黑体" w:hAnsi="黑体"/>
          <w:sz w:val="32"/>
          <w:szCs w:val="32"/>
        </w:rPr>
      </w:pPr>
      <w:bookmarkStart w:id="34" w:name="_Toc24143"/>
      <w:bookmarkStart w:id="35" w:name="_Toc3250"/>
      <w:r>
        <w:rPr>
          <w:rFonts w:ascii="黑体" w:eastAsia="黑体" w:hAnsi="黑体" w:hint="eastAsia"/>
          <w:sz w:val="32"/>
          <w:szCs w:val="32"/>
        </w:rPr>
        <w:t>第三部分 专业名词解释</w:t>
      </w:r>
      <w:bookmarkEnd w:id="34"/>
      <w:bookmarkEnd w:id="35"/>
    </w:p>
    <w:p w14:paraId="04385F5B"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01AEDC0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C3B0A2D"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700224D5"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1D4BF0F9"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05684206"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0BB9913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14:paraId="690389F8"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47D0DD63"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32CA0731"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0B82AFA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项目支出：指在基本支出之外为完成特定行政任务和事业发展目标所发生的支出。</w:t>
      </w:r>
    </w:p>
    <w:p w14:paraId="2F9A67A0"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51862E8E"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3B4D7BA" w14:textId="77777777" w:rsidR="008853A8" w:rsidRDefault="00885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14:paraId="6BC4C1C0" w14:textId="77777777" w:rsidR="008853A8" w:rsidRDefault="00885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7649D204" w14:textId="77777777" w:rsidR="008853A8" w:rsidRDefault="008853A8">
      <w:pPr>
        <w:ind w:firstLineChars="200" w:firstLine="640"/>
        <w:jc w:val="center"/>
        <w:outlineLvl w:val="0"/>
        <w:rPr>
          <w:rFonts w:ascii="黑体" w:eastAsia="黑体" w:hAnsi="黑体"/>
          <w:sz w:val="32"/>
          <w:szCs w:val="32"/>
        </w:rPr>
      </w:pPr>
      <w:bookmarkStart w:id="36" w:name="_Toc28903"/>
      <w:bookmarkStart w:id="37" w:name="_Toc22784"/>
      <w:r>
        <w:rPr>
          <w:rFonts w:ascii="黑体" w:eastAsia="黑体" w:hAnsi="黑体" w:hint="eastAsia"/>
          <w:sz w:val="32"/>
          <w:szCs w:val="32"/>
        </w:rPr>
        <w:t>第四部分 部门决算报表（见附表）</w:t>
      </w:r>
      <w:bookmarkEnd w:id="36"/>
      <w:bookmarkEnd w:id="37"/>
    </w:p>
    <w:p w14:paraId="090AD99E" w14:textId="77777777" w:rsidR="008853A8" w:rsidRDefault="008853A8">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004B471D" w14:textId="77777777" w:rsidR="008853A8" w:rsidRDefault="008853A8">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62F3C64D" w14:textId="77777777" w:rsidR="008853A8" w:rsidRDefault="008853A8">
      <w:pPr>
        <w:ind w:firstLineChars="200" w:firstLine="640"/>
        <w:outlineLvl w:val="1"/>
        <w:rPr>
          <w:rFonts w:ascii="黑体" w:eastAsia="黑体" w:hAnsi="黑体" w:cs="宋体"/>
          <w:bCs/>
          <w:kern w:val="0"/>
          <w:sz w:val="32"/>
          <w:szCs w:val="32"/>
        </w:rPr>
      </w:pPr>
      <w:bookmarkStart w:id="42" w:name="_Toc21304"/>
      <w:bookmarkStart w:id="43" w:name="_Toc32434"/>
      <w:r>
        <w:rPr>
          <w:rFonts w:ascii="黑体" w:eastAsia="黑体" w:hAnsi="黑体" w:cs="宋体" w:hint="eastAsia"/>
          <w:bCs/>
          <w:kern w:val="0"/>
          <w:sz w:val="32"/>
          <w:szCs w:val="32"/>
        </w:rPr>
        <w:t>三、《支出决算表》</w:t>
      </w:r>
      <w:bookmarkEnd w:id="42"/>
      <w:bookmarkEnd w:id="43"/>
    </w:p>
    <w:p w14:paraId="3D0B5C9A" w14:textId="77777777" w:rsidR="008853A8" w:rsidRDefault="008853A8">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77EC65FF" w14:textId="77777777" w:rsidR="008853A8" w:rsidRDefault="008853A8">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4311D09D" w14:textId="77777777" w:rsidR="008853A8" w:rsidRDefault="008853A8">
      <w:pPr>
        <w:ind w:firstLineChars="200" w:firstLine="640"/>
        <w:outlineLvl w:val="1"/>
        <w:rPr>
          <w:rFonts w:ascii="黑体" w:eastAsia="黑体" w:hAnsi="黑体" w:cs="宋体"/>
          <w:bCs/>
          <w:kern w:val="0"/>
          <w:sz w:val="32"/>
          <w:szCs w:val="32"/>
        </w:rPr>
      </w:pPr>
      <w:bookmarkStart w:id="48" w:name="_Toc5626"/>
      <w:bookmarkStart w:id="49" w:name="_Toc8884"/>
      <w:r>
        <w:rPr>
          <w:rFonts w:ascii="黑体" w:eastAsia="黑体" w:hAnsi="黑体" w:cs="宋体" w:hint="eastAsia"/>
          <w:bCs/>
          <w:kern w:val="0"/>
          <w:sz w:val="32"/>
          <w:szCs w:val="32"/>
        </w:rPr>
        <w:t>六、《一般公共预算财政拨款基本支出决算表》</w:t>
      </w:r>
      <w:bookmarkEnd w:id="48"/>
      <w:bookmarkEnd w:id="49"/>
    </w:p>
    <w:p w14:paraId="1D7CDCF2" w14:textId="77777777" w:rsidR="008853A8" w:rsidRDefault="008853A8">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5A34F572" w14:textId="77777777" w:rsidR="008853A8" w:rsidRDefault="008853A8">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sectPr w:rsidR="008853A8">
      <w:footerReference w:type="default" r:id="rI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C45808" w14:textId="77777777" w:rsidR="0088099A" w:rsidRDefault="0088099A">
      <w:r>
        <w:separator/>
      </w:r>
    </w:p>
  </w:endnote>
  <w:endnote w:type="continuationSeparator" w:id="0">
    <w:p w14:paraId="1F226AA3" w14:textId="77777777" w:rsidR="0088099A" w:rsidRDefault="008809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微软雅黑"/>
    <w:charset w:val="86"/>
    <w:family w:val="modern"/>
    <w:pitch w:val="default"/>
    <w:sig w:usb0="00000000" w:usb1="0000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C3B13" w14:textId="7F39015E" w:rsidR="008853A8" w:rsidRDefault="004F1D2D">
    <w:pPr>
      <w:pStyle w:val="a4"/>
    </w:pPr>
    <w:r>
      <w:rPr>
        <w:noProof/>
      </w:rPr>
      <mc:AlternateContent>
        <mc:Choice Requires="wps">
          <w:drawing>
            <wp:anchor distT="0" distB="0" distL="114300" distR="114300" simplePos="0" relativeHeight="251657728" behindDoc="0" locked="0" layoutInCell="1" allowOverlap="1" wp14:anchorId="5D818AEF" wp14:editId="432F0E00">
              <wp:simplePos x="0" y="0"/>
              <wp:positionH relativeFrom="margin">
                <wp:align>center</wp:align>
              </wp:positionH>
              <wp:positionV relativeFrom="paragraph">
                <wp:posOffset>0</wp:posOffset>
              </wp:positionV>
              <wp:extent cx="1828800" cy="182880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D818AEF" id="_x0000_t202" coordsize="21600,21600" o:spt="202" path="m,l,21600r21600,l21600,xe">
              <v:stroke joinstyle="miter"/>
              <v:path gradientshapeok="t" o:connecttype="rect"/>
            </v:shapetype>
            <v:shape id="文本框 1" o:spid="_x0000_s1026" type="#_x0000_t202" style="position:absolute;margin-left:0;margin-top:0;width:2in;height:2in;z-index:25165772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AencV47QEAALYDAAAOAAAAZHJzL2Uyb0RvYy54bWysU82O0zAQviPxDpbvNGkPqIqarpZdFSEt P9LCAziOk1jEHmvsNikPAG/AiQt3nqvPwdhpyrJ7Q1yssT3+5ptvPm+uRtOzg0KvwZZ8ucg5U1ZC rW1b8k8fdy/WnPkgbC16sKrkR+X51fb5s83gCrWCDvpaISMQ64vBlbwLwRVZ5mWnjPALcMrSZQNo RKAttlmNYiB002erPH+ZDYC1Q5DKezq9nS75NuE3jZLhfdN4FVhfcuIW0oppreKabTeiaFG4Tssz DfEPLIzQlopeoG5FEGyP+gmU0RLBQxMWEkwGTaOlSj1QN8v8UTf3nXAq9ULieHeRyf8/WPnu8AGZ rml2nFlhaESn799OP36dfn5lyyjP4HxBWfeO8sL4CsaYGlv17g7kZ88s3HTCtuoaEYZOiZropZfZ g6cTjo8g1fAWaqoj9gES0NigiYCkBiN0GtPxMho1BiZjyfVqvc7pStLdvCF2mSjm5w59eK3AsBiU HGn2CV4c7nyYUueUWM3CTvd9mn9v/zogzHiS6EfGE/cwVuNZjgrqIzWCMNmJ7E9BB/iFs4GsVHJL Xuesf2NJiui6OcA5qOZAWEkPSx44m8KbMLlz71C3HeHOYl+TXDudGom6ThzOLMkcSYqzkaP7Hu5T 1p/vtv0NAAD//wMAUEsDBBQABgAIAAAAIQAMSvDu1gAAAAUBAAAPAAAAZHJzL2Rvd25yZXYueG1s TI9Ba8MwDIXvg/4Ho8Juq9MetpDFKaXQS2/rxmA3N1bjMFsOtpsm/37aGGwXoccTT9+rt5N3YsSY +kAK1qsCBFIbTE+dgrfXw0MJImVNRrtAqGDGBNtmcVfryoQbveB4yp3gEEqVVmBzHiopU2vR67QK AxJ7lxC9zixjJ03UNw73Tm6K4lF63RN/sHrAvcX283T1Cp6m94BDwj1+XMY22n4u3XFW6n457Z5B ZJzy3zF84zM6NMx0DlcySTgFXCT/TPY2Zcny/LvIppb/6ZsvAAAA//8DAFBLAQItABQABgAIAAAA IQC2gziS/gAAAOEBAAATAAAAAAAAAAAAAAAAAAAAAABbQ29udGVudF9UeXBlc10ueG1sUEsBAi0A FAAGAAgAAAAhADj9If/WAAAAlAEAAAsAAAAAAAAAAAAAAAAALwEAAF9yZWxzLy5yZWxzUEsBAi0A FAAGAAgAAAAhAB6dxXjtAQAAtgMAAA4AAAAAAAAAAAAAAAAALgIAAGRycy9lMm9Eb2MueG1sUEsB Ai0AFAAGAAgAAAAhAAxK8O7WAAAABQEAAA8AAAAAAAAAAAAAAAAARwQAAGRycy9kb3ducmV2Lnht bFBLBQYAAAAABAAEAPMAAABKBQAAAAA= " filled="f" stroked="f">
              <v:textbox style="mso-fit-shape-to-text:t" inset="0,0,0,0">
                <w:txbxContent>
                  <w:p w14:paraId="4DBBD847" w14:textId="77777777" w:rsidR="008853A8" w:rsidRDefault="008853A8">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1E4CB" w14:textId="77777777" w:rsidR="0088099A" w:rsidRDefault="0088099A">
      <w:r>
        <w:separator/>
      </w:r>
    </w:p>
  </w:footnote>
  <w:footnote w:type="continuationSeparator" w:id="0">
    <w:p w14:paraId="30BF4204" w14:textId="77777777" w:rsidR="0088099A" w:rsidRDefault="008809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bordersDoNotSurroundHeader/>
  <w:bordersDoNotSurroundFooter/>
  <w:documentProtection w:enforcement="1" w:edit="comments" w:salt="sugr875rmoaFuMYbk2uCvg==" w:hash="L5/A7LoW27RhNioZcAAdpBZg3BY=" w:cryptSpinCount="100000" w:cryptAlgorithmType="typeAny" w:cryptAlgorithmClass="hash" w:cryptProviderType="rsaFull" w:cryptAlgorithmSid="4"/>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A4B19"/>
    <w:rsid w:val="002B072F"/>
    <w:rsid w:val="002B37DA"/>
    <w:rsid w:val="002B7A04"/>
    <w:rsid w:val="002D187F"/>
    <w:rsid w:val="002F1732"/>
    <w:rsid w:val="003106FF"/>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099A"/>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A656B"/>
    <w:rsid w:val="00EB1FF2"/>
    <w:rsid w:val="00EB42AF"/>
    <w:rsid w:val="00EB49C8"/>
    <w:rsid w:val="00EE3598"/>
    <w:rsid w:val="00EE791B"/>
    <w:rsid w:val="00EF3292"/>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D5275AC"/>
    <w:rsid w:val="46901EEE"/>
    <w:rsid w:val="469C74D2"/>
    <w:rsid w:val="50DB5F45"/>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131AF"/>
  <w15:chartTrackingRefBased/>
  <w15:docId w15:val="{7A89F94D-944E-49B7-A5B0-21D8D0FEA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2">
    <w:name w:val="toc 2"/>
    <w:basedOn w:val="a"/>
    <w:next w:val="a"/>
    <w:pPr>
      <w:ind w:leftChars="200" w:left="420"/>
    </w:pPr>
  </w:style>
  <w:style w:type="paragraph" w:styleId="TOC1">
    <w:name w:val="toc 1"/>
    <w:basedOn w:val="a"/>
    <w:next w:val="a"/>
  </w:style>
  <w:style w:type="paragraph" w:styleId="a3">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3">
    <w:name w:val="toc 3"/>
    <w:basedOn w:val="a"/>
    <w:next w:val="a"/>
    <w:pPr>
      <w:ind w:leftChars="400" w:left="840"/>
    </w:pPr>
  </w:style>
  <w:style w:type="paragraph" w:styleId="a4">
    <w:name w:val="footer"/>
    <w:basedOn w:val="a"/>
    <w:pPr>
      <w:tabs>
        <w:tab w:val="center" w:pos="4153"/>
        <w:tab w:val="right" w:pos="8306"/>
      </w:tabs>
      <w:snapToGrid w:val="0"/>
      <w:jc w:val="left"/>
    </w:pPr>
    <w:rPr>
      <w:sz w:val="18"/>
    </w:rPr>
  </w:style>
  <w:style w:type="paragraph" w:styleId="a5">
    <w:name w:val="annotation text"/>
    <w:basedOn w:val="a"/>
    <w:pPr>
      <w:jc w:val="left"/>
    </w:pPr>
  </w:style>
  <w:style w:type="paragraph" w:customStyle="1" w:styleId="WPSOffice3">
    <w:name w:val="WPSOffice手动目录 3"/>
    <w:pPr>
      <w:ind w:leftChars="400" w:left="400"/>
    </w:pPr>
  </w:style>
  <w:style w:type="paragraph" w:customStyle="1" w:styleId="WPSOffice2">
    <w:name w:val="WPSOffice手动目录 2"/>
    <w:pPr>
      <w:ind w:leftChars="200" w:left="200"/>
    </w:pPr>
  </w:style>
  <w:style w:type="paragraph" w:customStyle="1" w:styleId="WPSOffice1">
    <w:name w:val="WPSOffice手动目录 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381100">
      <w:bodyDiv w:val="1"/>
      <w:marLeft w:val="0"/>
      <w:marRight w:val="0"/>
      <w:marTop w:val="0"/>
      <w:marBottom w:val="0"/>
      <w:divBdr>
        <w:top w:val="none" w:sz="0" w:space="0" w:color="auto"/>
        <w:left w:val="none" w:sz="0" w:space="0" w:color="auto"/>
        <w:bottom w:val="none" w:sz="0" w:space="0" w:color="auto"/>
        <w:right w:val="none" w:sz="0" w:space="0" w:color="auto"/>
      </w:divBdr>
    </w:div>
    <w:div w:id="726150857">
      <w:bodyDiv w:val="1"/>
      <w:marLeft w:val="0"/>
      <w:marRight w:val="0"/>
      <w:marTop w:val="0"/>
      <w:marBottom w:val="0"/>
      <w:divBdr>
        <w:top w:val="none" w:sz="0" w:space="0" w:color="auto"/>
        <w:left w:val="none" w:sz="0" w:space="0" w:color="auto"/>
        <w:bottom w:val="none" w:sz="0" w:space="0" w:color="auto"/>
        <w:right w:val="none" w:sz="0" w:space="0" w:color="auto"/>
      </w:divBdr>
    </w:div>
    <w:div w:id="1085761621">
      <w:bodyDiv w:val="1"/>
      <w:marLeft w:val="0"/>
      <w:marRight w:val="0"/>
      <w:marTop w:val="0"/>
      <w:marBottom w:val="0"/>
      <w:divBdr>
        <w:top w:val="none" w:sz="0" w:space="0" w:color="auto"/>
        <w:left w:val="none" w:sz="0" w:space="0" w:color="auto"/>
        <w:bottom w:val="none" w:sz="0" w:space="0" w:color="auto"/>
        <w:right w:val="none" w:sz="0" w:space="0" w:color="auto"/>
      </w:divBdr>
    </w:div>
    <w:div w:id="1572694809">
      <w:bodyDiv w:val="1"/>
      <w:marLeft w:val="0"/>
      <w:marRight w:val="0"/>
      <w:marTop w:val="0"/>
      <w:marBottom w:val="0"/>
      <w:divBdr>
        <w:top w:val="none" w:sz="0" w:space="0" w:color="auto"/>
        <w:left w:val="none" w:sz="0" w:space="0" w:color="auto"/>
        <w:bottom w:val="none" w:sz="0" w:space="0" w:color="auto"/>
        <w:right w:val="none" w:sz="0" w:space="0" w:color="auto"/>
      </w:divBdr>
    </w:div>
    <w:div w:id="1814247851">
      <w:bodyDiv w:val="1"/>
      <w:marLeft w:val="0"/>
      <w:marRight w:val="0"/>
      <w:marTop w:val="0"/>
      <w:marBottom w:val="0"/>
      <w:divBdr>
        <w:top w:val="none" w:sz="0" w:space="0" w:color="auto"/>
        <w:left w:val="none" w:sz="0" w:space="0" w:color="auto"/>
        <w:bottom w:val="none" w:sz="0" w:space="0" w:color="auto"/>
        <w:right w:val="none" w:sz="0" w:space="0" w:color="auto"/>
      </w:divBdr>
    </w:div>
    <w:div w:id="1847329340">
      <w:bodyDiv w:val="1"/>
      <w:marLeft w:val="0"/>
      <w:marRight w:val="0"/>
      <w:marTop w:val="0"/>
      <w:marBottom w:val="0"/>
      <w:divBdr>
        <w:top w:val="none" w:sz="0" w:space="0" w:color="auto"/>
        <w:left w:val="none" w:sz="0" w:space="0" w:color="auto"/>
        <w:bottom w:val="none" w:sz="0" w:space="0" w:color="auto"/>
        <w:right w:val="none" w:sz="0" w:space="0" w:color="auto"/>
      </w:divBdr>
    </w:div>
    <w:div w:id="1919709360">
      <w:bodyDiv w:val="1"/>
      <w:marLeft w:val="0"/>
      <w:marRight w:val="0"/>
      <w:marTop w:val="0"/>
      <w:marBottom w:val="0"/>
      <w:divBdr>
        <w:top w:val="none" w:sz="0" w:space="0" w:color="auto"/>
        <w:left w:val="none" w:sz="0" w:space="0" w:color="auto"/>
        <w:bottom w:val="none" w:sz="0" w:space="0" w:color="auto"/>
        <w:right w:val="none" w:sz="0" w:space="0" w:color="auto"/>
      </w:divBdr>
    </w:div>
    <w:div w:id="2019891532">
      <w:bodyDiv w:val="1"/>
      <w:marLeft w:val="0"/>
      <w:marRight w:val="0"/>
      <w:marTop w:val="0"/>
      <w:marBottom w:val="0"/>
      <w:divBdr>
        <w:top w:val="none" w:sz="0" w:space="0" w:color="auto"/>
        <w:left w:val="none" w:sz="0" w:space="0" w:color="auto"/>
        <w:bottom w:val="none" w:sz="0" w:space="0" w:color="auto"/>
        <w:right w:val="none" w:sz="0" w:space="0" w:color="auto"/>
      </w:divBdr>
    </w:div>
    <w:div w:id="2102601509">
      <w:bodyDiv w:val="1"/>
      <w:marLeft w:val="0"/>
      <w:marRight w:val="0"/>
      <w:marTop w:val="0"/>
      <w:marBottom w:val="0"/>
      <w:divBdr>
        <w:top w:val="none" w:sz="0" w:space="0" w:color="auto"/>
        <w:left w:val="none" w:sz="0" w:space="0" w:color="auto"/>
        <w:bottom w:val="none" w:sz="0" w:space="0" w:color="auto"/>
        <w:right w:val="none" w:sz="0" w:space="0" w:color="auto"/>
      </w:divBdr>
    </w:div>
    <w:div w:id="210819305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oter1.xml" Type="http://schemas.openxmlformats.org/officeDocument/2006/relationships/footer"/><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1031</Words>
  <Characters>5881</Characters>
  <Application>Microsoft Office Word</Application>
  <DocSecurity>0</DocSecurity>
  <Lines>49</Lines>
  <Paragraphs>13</Paragraphs>
  <ScaleCrop>false</ScaleCrop>
  <Company/>
  <LinksUpToDate>false</LinksUpToDate>
  <CharactersWithSpaces>6899</CharactersWithSpaces>
  <SharedDoc>false</SharedDoc>
  <HLinks>
    <vt:vector size="162" baseType="variant">
      <vt:variant>
        <vt:i4>1179699</vt:i4>
      </vt:variant>
      <vt:variant>
        <vt:i4>80</vt:i4>
      </vt:variant>
      <vt:variant>
        <vt:i4>0</vt:i4>
      </vt:variant>
      <vt:variant>
        <vt:i4>5</vt:i4>
      </vt:variant>
      <vt:variant>
        <vt:lpwstr/>
      </vt:variant>
      <vt:variant>
        <vt:lpwstr>_Toc7643</vt:lpwstr>
      </vt:variant>
      <vt:variant>
        <vt:i4>1966131</vt:i4>
      </vt:variant>
      <vt:variant>
        <vt:i4>77</vt:i4>
      </vt:variant>
      <vt:variant>
        <vt:i4>0</vt:i4>
      </vt:variant>
      <vt:variant>
        <vt:i4>5</vt:i4>
      </vt:variant>
      <vt:variant>
        <vt:lpwstr/>
      </vt:variant>
      <vt:variant>
        <vt:lpwstr>_Toc29106</vt:lpwstr>
      </vt:variant>
      <vt:variant>
        <vt:i4>1769520</vt:i4>
      </vt:variant>
      <vt:variant>
        <vt:i4>74</vt:i4>
      </vt:variant>
      <vt:variant>
        <vt:i4>0</vt:i4>
      </vt:variant>
      <vt:variant>
        <vt:i4>5</vt:i4>
      </vt:variant>
      <vt:variant>
        <vt:lpwstr/>
      </vt:variant>
      <vt:variant>
        <vt:lpwstr>_Toc8884</vt:lpwstr>
      </vt:variant>
      <vt:variant>
        <vt:i4>1376313</vt:i4>
      </vt:variant>
      <vt:variant>
        <vt:i4>71</vt:i4>
      </vt:variant>
      <vt:variant>
        <vt:i4>0</vt:i4>
      </vt:variant>
      <vt:variant>
        <vt:i4>5</vt:i4>
      </vt:variant>
      <vt:variant>
        <vt:lpwstr/>
      </vt:variant>
      <vt:variant>
        <vt:lpwstr>_Toc14869</vt:lpwstr>
      </vt:variant>
      <vt:variant>
        <vt:i4>1507381</vt:i4>
      </vt:variant>
      <vt:variant>
        <vt:i4>68</vt:i4>
      </vt:variant>
      <vt:variant>
        <vt:i4>0</vt:i4>
      </vt:variant>
      <vt:variant>
        <vt:i4>5</vt:i4>
      </vt:variant>
      <vt:variant>
        <vt:lpwstr/>
      </vt:variant>
      <vt:variant>
        <vt:lpwstr>_Toc28786</vt:lpwstr>
      </vt:variant>
      <vt:variant>
        <vt:i4>1441847</vt:i4>
      </vt:variant>
      <vt:variant>
        <vt:i4>65</vt:i4>
      </vt:variant>
      <vt:variant>
        <vt:i4>0</vt:i4>
      </vt:variant>
      <vt:variant>
        <vt:i4>5</vt:i4>
      </vt:variant>
      <vt:variant>
        <vt:lpwstr/>
      </vt:variant>
      <vt:variant>
        <vt:lpwstr>_Toc32434</vt:lpwstr>
      </vt:variant>
      <vt:variant>
        <vt:i4>1048631</vt:i4>
      </vt:variant>
      <vt:variant>
        <vt:i4>62</vt:i4>
      </vt:variant>
      <vt:variant>
        <vt:i4>0</vt:i4>
      </vt:variant>
      <vt:variant>
        <vt:i4>5</vt:i4>
      </vt:variant>
      <vt:variant>
        <vt:lpwstr/>
      </vt:variant>
      <vt:variant>
        <vt:lpwstr>_Toc24532</vt:lpwstr>
      </vt:variant>
      <vt:variant>
        <vt:i4>1376314</vt:i4>
      </vt:variant>
      <vt:variant>
        <vt:i4>59</vt:i4>
      </vt:variant>
      <vt:variant>
        <vt:i4>0</vt:i4>
      </vt:variant>
      <vt:variant>
        <vt:i4>5</vt:i4>
      </vt:variant>
      <vt:variant>
        <vt:lpwstr/>
      </vt:variant>
      <vt:variant>
        <vt:lpwstr>_Toc2183</vt:lpwstr>
      </vt:variant>
      <vt:variant>
        <vt:i4>1900597</vt:i4>
      </vt:variant>
      <vt:variant>
        <vt:i4>56</vt:i4>
      </vt:variant>
      <vt:variant>
        <vt:i4>0</vt:i4>
      </vt:variant>
      <vt:variant>
        <vt:i4>5</vt:i4>
      </vt:variant>
      <vt:variant>
        <vt:lpwstr/>
      </vt:variant>
      <vt:variant>
        <vt:lpwstr>_Toc22784</vt:lpwstr>
      </vt:variant>
      <vt:variant>
        <vt:i4>1376310</vt:i4>
      </vt:variant>
      <vt:variant>
        <vt:i4>53</vt:i4>
      </vt:variant>
      <vt:variant>
        <vt:i4>0</vt:i4>
      </vt:variant>
      <vt:variant>
        <vt:i4>5</vt:i4>
      </vt:variant>
      <vt:variant>
        <vt:lpwstr/>
      </vt:variant>
      <vt:variant>
        <vt:lpwstr>_Toc3250</vt:lpwstr>
      </vt:variant>
      <vt:variant>
        <vt:i4>1966131</vt:i4>
      </vt:variant>
      <vt:variant>
        <vt:i4>50</vt:i4>
      </vt:variant>
      <vt:variant>
        <vt:i4>0</vt:i4>
      </vt:variant>
      <vt:variant>
        <vt:i4>5</vt:i4>
      </vt:variant>
      <vt:variant>
        <vt:lpwstr/>
      </vt:variant>
      <vt:variant>
        <vt:lpwstr>_Toc11283</vt:lpwstr>
      </vt:variant>
      <vt:variant>
        <vt:i4>1376305</vt:i4>
      </vt:variant>
      <vt:variant>
        <vt:i4>47</vt:i4>
      </vt:variant>
      <vt:variant>
        <vt:i4>0</vt:i4>
      </vt:variant>
      <vt:variant>
        <vt:i4>5</vt:i4>
      </vt:variant>
      <vt:variant>
        <vt:lpwstr/>
      </vt:variant>
      <vt:variant>
        <vt:lpwstr>_Toc8391</vt:lpwstr>
      </vt:variant>
      <vt:variant>
        <vt:i4>2424834</vt:i4>
      </vt:variant>
      <vt:variant>
        <vt:i4>44</vt:i4>
      </vt:variant>
      <vt:variant>
        <vt:i4>0</vt:i4>
      </vt:variant>
      <vt:variant>
        <vt:i4>5</vt:i4>
      </vt:variant>
      <vt:variant>
        <vt:lpwstr/>
      </vt:variant>
      <vt:variant>
        <vt:lpwstr>_Toc227</vt:lpwstr>
      </vt:variant>
      <vt:variant>
        <vt:i4>1179700</vt:i4>
      </vt:variant>
      <vt:variant>
        <vt:i4>41</vt:i4>
      </vt:variant>
      <vt:variant>
        <vt:i4>0</vt:i4>
      </vt:variant>
      <vt:variant>
        <vt:i4>5</vt:i4>
      </vt:variant>
      <vt:variant>
        <vt:lpwstr/>
      </vt:variant>
      <vt:variant>
        <vt:lpwstr>_Toc14519</vt:lpwstr>
      </vt:variant>
      <vt:variant>
        <vt:i4>1048626</vt:i4>
      </vt:variant>
      <vt:variant>
        <vt:i4>38</vt:i4>
      </vt:variant>
      <vt:variant>
        <vt:i4>0</vt:i4>
      </vt:variant>
      <vt:variant>
        <vt:i4>5</vt:i4>
      </vt:variant>
      <vt:variant>
        <vt:lpwstr/>
      </vt:variant>
      <vt:variant>
        <vt:lpwstr>_Toc1235</vt:lpwstr>
      </vt:variant>
      <vt:variant>
        <vt:i4>2031668</vt:i4>
      </vt:variant>
      <vt:variant>
        <vt:i4>35</vt:i4>
      </vt:variant>
      <vt:variant>
        <vt:i4>0</vt:i4>
      </vt:variant>
      <vt:variant>
        <vt:i4>5</vt:i4>
      </vt:variant>
      <vt:variant>
        <vt:lpwstr/>
      </vt:variant>
      <vt:variant>
        <vt:lpwstr>_Toc5810</vt:lpwstr>
      </vt:variant>
      <vt:variant>
        <vt:i4>1507383</vt:i4>
      </vt:variant>
      <vt:variant>
        <vt:i4>32</vt:i4>
      </vt:variant>
      <vt:variant>
        <vt:i4>0</vt:i4>
      </vt:variant>
      <vt:variant>
        <vt:i4>5</vt:i4>
      </vt:variant>
      <vt:variant>
        <vt:lpwstr/>
      </vt:variant>
      <vt:variant>
        <vt:lpwstr>_Toc21518</vt:lpwstr>
      </vt:variant>
      <vt:variant>
        <vt:i4>1048635</vt:i4>
      </vt:variant>
      <vt:variant>
        <vt:i4>29</vt:i4>
      </vt:variant>
      <vt:variant>
        <vt:i4>0</vt:i4>
      </vt:variant>
      <vt:variant>
        <vt:i4>5</vt:i4>
      </vt:variant>
      <vt:variant>
        <vt:lpwstr/>
      </vt:variant>
      <vt:variant>
        <vt:lpwstr>_Toc30870</vt:lpwstr>
      </vt:variant>
      <vt:variant>
        <vt:i4>1114161</vt:i4>
      </vt:variant>
      <vt:variant>
        <vt:i4>26</vt:i4>
      </vt:variant>
      <vt:variant>
        <vt:i4>0</vt:i4>
      </vt:variant>
      <vt:variant>
        <vt:i4>5</vt:i4>
      </vt:variant>
      <vt:variant>
        <vt:lpwstr/>
      </vt:variant>
      <vt:variant>
        <vt:lpwstr>_Toc20360</vt:lpwstr>
      </vt:variant>
      <vt:variant>
        <vt:i4>1507383</vt:i4>
      </vt:variant>
      <vt:variant>
        <vt:i4>23</vt:i4>
      </vt:variant>
      <vt:variant>
        <vt:i4>0</vt:i4>
      </vt:variant>
      <vt:variant>
        <vt:i4>5</vt:i4>
      </vt:variant>
      <vt:variant>
        <vt:lpwstr/>
      </vt:variant>
      <vt:variant>
        <vt:lpwstr>_Toc26564</vt:lpwstr>
      </vt:variant>
      <vt:variant>
        <vt:i4>1310771</vt:i4>
      </vt:variant>
      <vt:variant>
        <vt:i4>20</vt:i4>
      </vt:variant>
      <vt:variant>
        <vt:i4>0</vt:i4>
      </vt:variant>
      <vt:variant>
        <vt:i4>5</vt:i4>
      </vt:variant>
      <vt:variant>
        <vt:lpwstr/>
      </vt:variant>
      <vt:variant>
        <vt:lpwstr>_Toc13201</vt:lpwstr>
      </vt:variant>
      <vt:variant>
        <vt:i4>1114160</vt:i4>
      </vt:variant>
      <vt:variant>
        <vt:i4>17</vt:i4>
      </vt:variant>
      <vt:variant>
        <vt:i4>0</vt:i4>
      </vt:variant>
      <vt:variant>
        <vt:i4>5</vt:i4>
      </vt:variant>
      <vt:variant>
        <vt:lpwstr/>
      </vt:variant>
      <vt:variant>
        <vt:lpwstr>_Toc12142</vt:lpwstr>
      </vt:variant>
      <vt:variant>
        <vt:i4>1245233</vt:i4>
      </vt:variant>
      <vt:variant>
        <vt:i4>14</vt:i4>
      </vt:variant>
      <vt:variant>
        <vt:i4>0</vt:i4>
      </vt:variant>
      <vt:variant>
        <vt:i4>5</vt:i4>
      </vt:variant>
      <vt:variant>
        <vt:lpwstr/>
      </vt:variant>
      <vt:variant>
        <vt:lpwstr>_Toc25314</vt:lpwstr>
      </vt:variant>
      <vt:variant>
        <vt:i4>1638449</vt:i4>
      </vt:variant>
      <vt:variant>
        <vt:i4>11</vt:i4>
      </vt:variant>
      <vt:variant>
        <vt:i4>0</vt:i4>
      </vt:variant>
      <vt:variant>
        <vt:i4>5</vt:i4>
      </vt:variant>
      <vt:variant>
        <vt:lpwstr/>
      </vt:variant>
      <vt:variant>
        <vt:lpwstr>_Toc29374</vt:lpwstr>
      </vt:variant>
      <vt:variant>
        <vt:i4>1507383</vt:i4>
      </vt:variant>
      <vt:variant>
        <vt:i4>8</vt:i4>
      </vt:variant>
      <vt:variant>
        <vt:i4>0</vt:i4>
      </vt:variant>
      <vt:variant>
        <vt:i4>5</vt:i4>
      </vt:variant>
      <vt:variant>
        <vt:lpwstr/>
      </vt:variant>
      <vt:variant>
        <vt:lpwstr>_Toc2151</vt:lpwstr>
      </vt:variant>
      <vt:variant>
        <vt:i4>1114166</vt:i4>
      </vt:variant>
      <vt:variant>
        <vt:i4>5</vt:i4>
      </vt:variant>
      <vt:variant>
        <vt:i4>0</vt:i4>
      </vt:variant>
      <vt:variant>
        <vt:i4>5</vt:i4>
      </vt:variant>
      <vt:variant>
        <vt:lpwstr/>
      </vt:variant>
      <vt:variant>
        <vt:lpwstr>_Toc30567</vt:lpwstr>
      </vt:variant>
      <vt:variant>
        <vt:i4>1310768</vt:i4>
      </vt:variant>
      <vt:variant>
        <vt:i4>2</vt:i4>
      </vt:variant>
      <vt:variant>
        <vt:i4>0</vt:i4>
      </vt:variant>
      <vt:variant>
        <vt:i4>5</vt:i4>
      </vt:variant>
      <vt:variant>
        <vt:lpwstr/>
      </vt:variant>
      <vt:variant>
        <vt:lpwstr>_Toc32314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2020-09-08T14:04:00Z</dcterms:created>
  <dc:creator>GXR</dc:creator>
  <cp:lastModifiedBy>Wevil Dwyane</cp:lastModifiedBy>
  <dcterms:modified xsi:type="dcterms:W3CDTF">2020-09-23T11:32:00Z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