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新疆喀什地区麦盖提县人民武装部2019年度部门决算公开说明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一、负责本地区其他士兵、预备役工作，领导区域内人民武装工作。</w:t>
      </w:r>
    </w:p>
    <w:p>
      <w:pPr>
        <w:ind w:firstLine="480"/>
        <w:jc w:val="both"/>
      </w:pPr>
      <w:r>
        <w:rPr>
          <w:rFonts w:ascii="仿宋_GB2312" w:hAnsi="仿宋_GB2312" w:eastAsia="仿宋_GB2312" w:cs="仿宋_GB2312"/>
          <w:b w:val="0"/>
          <w:sz w:val="32"/>
        </w:rPr>
        <w:t>二、领导本地区的其他士兵组织建设、政治教育、军事训练和武器装备管理。</w:t>
      </w:r>
    </w:p>
    <w:p>
      <w:pPr>
        <w:ind w:firstLine="480"/>
        <w:jc w:val="both"/>
      </w:pPr>
      <w:r>
        <w:rPr>
          <w:rFonts w:ascii="仿宋_GB2312" w:hAnsi="仿宋_GB2312" w:eastAsia="仿宋_GB2312" w:cs="仿宋_GB2312"/>
          <w:b w:val="0"/>
          <w:sz w:val="32"/>
        </w:rPr>
        <w:t>三、开展全民国防教育，做好拥军优属和拥政爱民的工作，组织其他士兵参加三个文明建设。</w:t>
      </w:r>
    </w:p>
    <w:p>
      <w:pPr>
        <w:ind w:firstLine="480"/>
        <w:jc w:val="both"/>
      </w:pPr>
      <w:r>
        <w:rPr>
          <w:rFonts w:ascii="仿宋_GB2312" w:hAnsi="仿宋_GB2312" w:eastAsia="仿宋_GB2312" w:cs="仿宋_GB2312"/>
          <w:b w:val="0"/>
          <w:sz w:val="32"/>
        </w:rPr>
        <w:t>四、组织带领完成战备执勤、防汛、抢险、救灾等任务，配合公安部门维护社会治安。                                                                                                    五、负责其他士兵和预备役人员登记、统计工作，保质保量完成征兵任务。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新疆喀什地区麦盖提县人民武装部2019年度，实有人数8人，其中：在职人员6人，离休人员0人，退休人员2人。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从部门决算单位构成看，新疆喀什地区麦盖提县人民武装部部门决算包括：新疆喀什地区麦盖提县人民武装部决算。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2019年度本年收入84.23万元，与上年相比，减少2.81万元，下降3.23%，主要原因是：征兵工作经费较去年减少。本年支出84.23万元，与上年相比，减少2.81万元，下降3.23%，主要原因是：征兵工作经费较去年减少。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2019年度本年收入84.23万元，其中：财政拨款收入84.23万元，占100%；上级补助收入0万元，占0%；事业收入0万元，占0%；经营收入0万元，占0%；附属单位上缴收入0万元，占0%；其他收入0万元，占0%。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2019年度本年支出84.23万元，其中：基本支出76.32万元，占90.61%；项目支出7.90万元，占9.38%；上缴上级支出0万元，占0%；经营支出0万元，占0%；对附属单位补助支出0万元，占0%。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84.23万元，与上年相比，减少2.81万元，下降3.23%，主要原因是：征兵工作经费较去年减少。财政拨款支出84.23万元，与上年相比，减少2.81万元，下降3.23%，主要原因是：征兵工作经费较去年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81.31万元，决算数84.23万元，预决算差异率3.59%，主要原因是：征兵工作经费年初预算少于实际发生金额，因此决算数大于年初预算数。财政拨款支出年初预算数81.31万元，决算数84.23万元，预决算差异率3.59%，主要原因是：征兵工作经费年初预算少于实际发生金额，因此决算数大于年初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2019年度一般公共预算财政拨款支出84.23万元。按功能分类科目项级科目公开，其中：</w:t>
      </w:r>
    </w:p>
    <w:p>
      <w:pPr>
        <w:ind w:firstLine="480"/>
        <w:jc w:val="both"/>
      </w:pPr>
      <w:r>
        <w:rPr>
          <w:rFonts w:ascii="仿宋_GB2312" w:hAnsi="仿宋_GB2312" w:eastAsia="仿宋_GB2312" w:cs="仿宋_GB2312"/>
          <w:b w:val="0"/>
          <w:sz w:val="32"/>
        </w:rPr>
        <w:t xml:space="preserve">   2010301行政运行支出65.07万元；</w:t>
      </w:r>
    </w:p>
    <w:p>
      <w:pPr>
        <w:ind w:firstLine="480"/>
        <w:jc w:val="both"/>
      </w:pPr>
      <w:r>
        <w:rPr>
          <w:rFonts w:ascii="仿宋_GB2312" w:hAnsi="仿宋_GB2312" w:eastAsia="仿宋_GB2312" w:cs="仿宋_GB2312"/>
          <w:b w:val="0"/>
          <w:sz w:val="32"/>
        </w:rPr>
        <w:t xml:space="preserve">   2030601兵役征集支出7.90万元；</w:t>
      </w:r>
    </w:p>
    <w:p>
      <w:pPr>
        <w:ind w:firstLine="480"/>
        <w:jc w:val="both"/>
      </w:pPr>
      <w:r>
        <w:rPr>
          <w:rFonts w:ascii="仿宋_GB2312" w:hAnsi="仿宋_GB2312" w:eastAsia="仿宋_GB2312" w:cs="仿宋_GB2312"/>
          <w:b w:val="0"/>
          <w:sz w:val="32"/>
        </w:rPr>
        <w:t xml:space="preserve">   2080505机关事业单位基本养老保险缴费支出6.39万元；</w:t>
      </w:r>
    </w:p>
    <w:p>
      <w:pPr>
        <w:ind w:firstLine="480"/>
        <w:jc w:val="both"/>
      </w:pPr>
      <w:r>
        <w:rPr>
          <w:rFonts w:ascii="仿宋_GB2312" w:hAnsi="仿宋_GB2312" w:eastAsia="仿宋_GB2312" w:cs="仿宋_GB2312"/>
          <w:b w:val="0"/>
          <w:sz w:val="32"/>
        </w:rPr>
        <w:t xml:space="preserve">   2210201住房公积金支出4.87万元。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2019年度一般公共预算财政拨款基本支出76.32万元，其中：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人员经费60.25万元，包括：基本工资、津贴补贴、奖金、机关事业单位基本养老保险缴费、职工基本医疗保险缴费、其他社会保障缴费、住房公积金、退休费、生活补助。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公用经费16.08万元，包括：办公费、取暖费。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0万元，预决算差异率0%，主要原因是：预算未安排，也无相应支出，因此预决算无差异。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0万元，预决算差异率0%，主要原因是：预算未安排，也无相应支出，因此预决算无差异；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新疆喀什地区麦盖提县人民武装部日常公用经费16.08万元，比上年增加0.33万元，增长2.1%，主要原因是办公费较去年增加。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4,814（平方米），价值291.10万元。车辆2辆，价值24万元，其中：副部（省）级及以上领导用车0辆、主要领导干部用车0辆、机要通信用车0辆、应急保障用车0辆、执法执勤用车0辆、特种专业技术用车0辆、离退休干部用车0辆、其他用车2辆，其他用车主要是：部队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325451A"/>
    <w:rsid w:val="1DAF458D"/>
    <w:rsid w:val="2A053397"/>
    <w:rsid w:val="2D1136DF"/>
    <w:rsid w:val="31C63837"/>
    <w:rsid w:val="3B6236B8"/>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2020-10-04T08:30:07Z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