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新疆喀什地区麦盖提县人民检察院2019年度部门决算公开说明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480"/>
        <w:jc w:val="both"/>
      </w:pPr>
      <w:r>
        <w:rPr>
          <w:rFonts w:ascii="仿宋_GB2312" w:hAnsi="仿宋_GB2312" w:eastAsia="仿宋_GB2312" w:cs="仿宋_GB2312"/>
          <w:b w:val="0"/>
          <w:sz w:val="32"/>
        </w:rPr>
        <w:t>1、对麦盖提县人民代表大会和县人民代表大会常务委员会负责并报告工作，接受麦盖提县人民代表大会及其常务委员会的监督。</w:t>
      </w:r>
    </w:p>
    <w:p>
      <w:pPr>
        <w:ind w:firstLine="480"/>
        <w:jc w:val="both"/>
      </w:pPr>
      <w:r>
        <w:rPr>
          <w:rFonts w:ascii="仿宋_GB2312" w:hAnsi="仿宋_GB2312" w:eastAsia="仿宋_GB2312" w:cs="仿宋_GB2312"/>
          <w:b w:val="0"/>
          <w:sz w:val="32"/>
        </w:rPr>
        <w:t>2、依法向麦盖提县人民代表大会及其常务委员会提出议案。</w:t>
      </w:r>
    </w:p>
    <w:p>
      <w:pPr>
        <w:ind w:firstLine="480"/>
        <w:jc w:val="both"/>
      </w:pPr>
      <w:r>
        <w:rPr>
          <w:rFonts w:ascii="仿宋_GB2312" w:hAnsi="仿宋_GB2312" w:eastAsia="仿宋_GB2312" w:cs="仿宋_GB2312"/>
          <w:b w:val="0"/>
          <w:sz w:val="32"/>
        </w:rPr>
        <w:t>3、依照法律规定对有关刑事案件行使**权。</w:t>
      </w:r>
    </w:p>
    <w:p>
      <w:pPr>
        <w:ind w:firstLine="480"/>
        <w:jc w:val="both"/>
      </w:pPr>
      <w:r>
        <w:rPr>
          <w:rFonts w:ascii="仿宋_GB2312" w:hAnsi="仿宋_GB2312" w:eastAsia="仿宋_GB2312" w:cs="仿宋_GB2312"/>
          <w:b w:val="0"/>
          <w:sz w:val="32"/>
        </w:rPr>
        <w:t>4、对刑事案件进行审查，批准或者决定是否逮捕犯罪嫌疑人。</w:t>
      </w:r>
    </w:p>
    <w:p>
      <w:pPr>
        <w:ind w:firstLine="480"/>
        <w:jc w:val="both"/>
      </w:pPr>
      <w:r>
        <w:rPr>
          <w:rFonts w:ascii="仿宋_GB2312" w:hAnsi="仿宋_GB2312" w:eastAsia="仿宋_GB2312" w:cs="仿宋_GB2312"/>
          <w:b w:val="0"/>
          <w:sz w:val="32"/>
        </w:rPr>
        <w:t>5、对刑事案件进行审查，决定是否提起公诉，对决定提起公诉的案件支持公诉。</w:t>
      </w:r>
    </w:p>
    <w:p>
      <w:pPr>
        <w:ind w:firstLine="480"/>
        <w:jc w:val="both"/>
      </w:pPr>
      <w:r>
        <w:rPr>
          <w:rFonts w:ascii="仿宋_GB2312" w:hAnsi="仿宋_GB2312" w:eastAsia="仿宋_GB2312" w:cs="仿宋_GB2312"/>
          <w:b w:val="0"/>
          <w:sz w:val="32"/>
        </w:rPr>
        <w:t>6、依照法律规定提起公益诉讼。</w:t>
      </w:r>
    </w:p>
    <w:p>
      <w:pPr>
        <w:ind w:firstLine="480"/>
        <w:jc w:val="both"/>
      </w:pPr>
      <w:r>
        <w:rPr>
          <w:rFonts w:ascii="仿宋_GB2312" w:hAnsi="仿宋_GB2312" w:eastAsia="仿宋_GB2312" w:cs="仿宋_GB2312"/>
          <w:b w:val="0"/>
          <w:sz w:val="32"/>
        </w:rPr>
        <w:t>7、对诉讼活动实行法律监督。</w:t>
      </w:r>
    </w:p>
    <w:p>
      <w:pPr>
        <w:ind w:firstLine="480"/>
        <w:jc w:val="both"/>
      </w:pPr>
      <w:r>
        <w:rPr>
          <w:rFonts w:ascii="仿宋_GB2312" w:hAnsi="仿宋_GB2312" w:eastAsia="仿宋_GB2312" w:cs="仿宋_GB2312"/>
          <w:b w:val="0"/>
          <w:sz w:val="32"/>
        </w:rPr>
        <w:t>8、对判决、裁定等生效法律文书的执行工作实行法律监督。</w:t>
      </w:r>
    </w:p>
    <w:p>
      <w:pPr>
        <w:ind w:firstLine="480"/>
        <w:jc w:val="both"/>
      </w:pPr>
      <w:r>
        <w:rPr>
          <w:rFonts w:ascii="仿宋_GB2312" w:hAnsi="仿宋_GB2312" w:eastAsia="仿宋_GB2312" w:cs="仿宋_GB2312"/>
          <w:b w:val="0"/>
          <w:sz w:val="32"/>
        </w:rPr>
        <w:t>9、对麦盖提县看守所的执法活动实行法律监督。</w:t>
      </w:r>
    </w:p>
    <w:p>
      <w:pPr>
        <w:ind w:firstLine="480"/>
        <w:jc w:val="both"/>
      </w:pPr>
      <w:r>
        <w:rPr>
          <w:rFonts w:ascii="仿宋_GB2312" w:hAnsi="仿宋_GB2312" w:eastAsia="仿宋_GB2312" w:cs="仿宋_GB2312"/>
          <w:b w:val="0"/>
          <w:sz w:val="32"/>
        </w:rPr>
        <w:t>10、依法对本级人民法院已发生法律效力、确有错误的判决和裁定，依法提起抗诉或提请喀什地区检察分院抗诉。</w:t>
      </w:r>
    </w:p>
    <w:p>
      <w:pPr>
        <w:ind w:firstLine="480"/>
        <w:jc w:val="both"/>
      </w:pPr>
      <w:r>
        <w:rPr>
          <w:rFonts w:ascii="仿宋_GB2312" w:hAnsi="仿宋_GB2312" w:eastAsia="仿宋_GB2312" w:cs="仿宋_GB2312"/>
          <w:b w:val="0"/>
          <w:sz w:val="32"/>
        </w:rPr>
        <w:t>11、依法受理检察机关的举报、刑事复查和刑事赔偿工作，受理单位和个人的报案、控告、申诉、举报以及犯罪嫌疑人的自首。</w:t>
      </w:r>
    </w:p>
    <w:p>
      <w:pPr>
        <w:ind w:firstLine="480"/>
        <w:jc w:val="both"/>
      </w:pPr>
      <w:r>
        <w:rPr>
          <w:rFonts w:ascii="仿宋_GB2312" w:hAnsi="仿宋_GB2312" w:eastAsia="仿宋_GB2312" w:cs="仿宋_GB2312"/>
          <w:b w:val="0"/>
          <w:sz w:val="32"/>
        </w:rPr>
        <w:t>12、对检察业务工作具体应用法律的问题进行研究，向立法机关和上级人民检察院提出立法及司法解释的建议。</w:t>
      </w:r>
    </w:p>
    <w:p>
      <w:pPr>
        <w:ind w:firstLine="480"/>
        <w:jc w:val="both"/>
      </w:pPr>
      <w:r>
        <w:rPr>
          <w:rFonts w:ascii="仿宋_GB2312" w:hAnsi="仿宋_GB2312" w:eastAsia="仿宋_GB2312" w:cs="仿宋_GB2312"/>
          <w:b w:val="0"/>
          <w:sz w:val="32"/>
        </w:rPr>
        <w:t>13、提请麦盖提县人民代表大会常务委员会决定任免县人民检察院副检察长、检察委员会委员、检察员。</w:t>
      </w:r>
    </w:p>
    <w:p>
      <w:pPr>
        <w:ind w:firstLine="480"/>
        <w:jc w:val="both"/>
      </w:pPr>
      <w:r>
        <w:rPr>
          <w:rFonts w:ascii="仿宋_GB2312" w:hAnsi="仿宋_GB2312" w:eastAsia="仿宋_GB2312" w:cs="仿宋_GB2312"/>
          <w:b w:val="0"/>
          <w:sz w:val="32"/>
        </w:rPr>
        <w:t>14、负责检察机关干警的思想政治工作、队伍建设和教育培训工作。</w:t>
      </w:r>
    </w:p>
    <w:p>
      <w:pPr>
        <w:ind w:firstLine="480"/>
        <w:jc w:val="both"/>
      </w:pPr>
      <w:r>
        <w:rPr>
          <w:rFonts w:ascii="仿宋_GB2312" w:hAnsi="仿宋_GB2312" w:eastAsia="仿宋_GB2312" w:cs="仿宋_GB2312"/>
          <w:b w:val="0"/>
          <w:sz w:val="32"/>
        </w:rPr>
        <w:t>15、完成上级党委、人大和上级检察院交办的其他工作。</w:t>
      </w:r>
    </w:p>
    <w:p>
      <w:pPr>
        <w:ind w:firstLine="480"/>
        <w:jc w:val="both"/>
      </w:pPr>
      <w:r>
        <w:rPr>
          <w:rFonts w:ascii="仿宋_GB2312" w:hAnsi="仿宋_GB2312" w:eastAsia="仿宋_GB2312" w:cs="仿宋_GB2312"/>
          <w:b w:val="0"/>
          <w:sz w:val="32"/>
        </w:rPr>
        <w:t>16、法律规定的其他职权。</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新疆喀什地区麦盖提县人民检察院2019年度，实有人数53人，其中：在职人员36人，离休人员0人，退休人员17人。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从部门决算单位构成看，新疆喀什地区麦盖提县人民检察院部门决算包括：新疆喀什地区麦盖提县人民检察院决算。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907.93万元，与上年相比，增加52.26万元，增长6.11%，主要原因是：援疆资金及上级专项资金较去年增加。本年支出907.93万元，与上年相比，增加34.64万元，增长3.97%，主要原因是：援疆资金及上级专项资金较去年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2019年度本年收入907.93万元，其中：财政拨款收入897.93万元，占98.9%；上级补助收入0万元，占0%；事业收入0万元，占0%；经营收入0万元，占0%；附属单位上缴收入0万元，占0%；其他收入10万元，占1.1%。</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2019年度本年支出907.93万元，其中：基本支出578.93万元，占63.76%；项目支出329万元，占36.24%；上缴上级支出0万元，占0%；经营支出0万元，占0%；对附属单位补助支出0万元，占0%。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2019年度财政拨款收入897.93万元，与上年相比，增加42.26万元，增长4.94%，主要原因是：财政专项资金增加。财政拨款支出897.93万元，与上年相比，增加24.64万元，增长2.82%，主要原因是：财政专项资金增加。</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559.20万元，决算数897.93万元，预决算差异率60.57%，主要原因是：年初预算项目资金少，实际到位专项资金多，因此决算数大于年初预算数。财政拨款支出年初预算数559.20万元，决算数897.93万元，预决算差异率60.57%，主要原因是：年初预算项目资金少，实际到位专项资金多，因此决算数大于年初预算数。</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2019年度一般公共预算财政拨款支出897.93万元。按功能分类科目项级科目公开，其中：</w:t>
      </w:r>
    </w:p>
    <w:p>
      <w:pPr>
        <w:ind w:firstLine="480"/>
        <w:jc w:val="both"/>
      </w:pPr>
      <w:r>
        <w:rPr>
          <w:rFonts w:ascii="仿宋_GB2312" w:hAnsi="仿宋_GB2312" w:eastAsia="仿宋_GB2312" w:cs="仿宋_GB2312"/>
          <w:b w:val="0"/>
          <w:sz w:val="32"/>
        </w:rPr>
        <w:t xml:space="preserve">   2040401行政运行支出492.23万元；</w:t>
      </w:r>
    </w:p>
    <w:p>
      <w:pPr>
        <w:ind w:firstLine="480"/>
        <w:jc w:val="both"/>
      </w:pPr>
      <w:r>
        <w:rPr>
          <w:rFonts w:ascii="仿宋_GB2312" w:hAnsi="仿宋_GB2312" w:eastAsia="仿宋_GB2312" w:cs="仿宋_GB2312"/>
          <w:b w:val="0"/>
          <w:sz w:val="32"/>
        </w:rPr>
        <w:t xml:space="preserve">   2040402一般行政管理事务支出48万元；</w:t>
      </w:r>
    </w:p>
    <w:p>
      <w:pPr>
        <w:ind w:firstLine="480"/>
        <w:jc w:val="both"/>
      </w:pPr>
      <w:r>
        <w:rPr>
          <w:rFonts w:ascii="仿宋_GB2312" w:hAnsi="仿宋_GB2312" w:eastAsia="仿宋_GB2312" w:cs="仿宋_GB2312"/>
          <w:b w:val="0"/>
          <w:sz w:val="32"/>
        </w:rPr>
        <w:t xml:space="preserve">   2040499其他检察支出220万元；</w:t>
      </w:r>
    </w:p>
    <w:p>
      <w:pPr>
        <w:ind w:firstLine="480"/>
        <w:jc w:val="both"/>
      </w:pPr>
      <w:r>
        <w:rPr>
          <w:rFonts w:ascii="仿宋_GB2312" w:hAnsi="仿宋_GB2312" w:eastAsia="仿宋_GB2312" w:cs="仿宋_GB2312"/>
          <w:b w:val="0"/>
          <w:sz w:val="32"/>
        </w:rPr>
        <w:t xml:space="preserve">   2049901其他公共安全支出51万元；</w:t>
      </w:r>
    </w:p>
    <w:p>
      <w:pPr>
        <w:ind w:firstLine="480"/>
        <w:jc w:val="both"/>
      </w:pPr>
      <w:r>
        <w:rPr>
          <w:rFonts w:ascii="仿宋_GB2312" w:hAnsi="仿宋_GB2312" w:eastAsia="仿宋_GB2312" w:cs="仿宋_GB2312"/>
          <w:b w:val="0"/>
          <w:sz w:val="32"/>
        </w:rPr>
        <w:t xml:space="preserve">   2080505机关事业单位基本养老保险缴费支出49.65万元；</w:t>
      </w:r>
    </w:p>
    <w:p>
      <w:pPr>
        <w:ind w:firstLine="480"/>
        <w:jc w:val="both"/>
      </w:pPr>
      <w:r>
        <w:rPr>
          <w:rFonts w:ascii="仿宋_GB2312" w:hAnsi="仿宋_GB2312" w:eastAsia="仿宋_GB2312" w:cs="仿宋_GB2312"/>
          <w:b w:val="0"/>
          <w:sz w:val="32"/>
        </w:rPr>
        <w:t xml:space="preserve">   2210201住房公积金支出37.05万元。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2019年度一般公共预算财政拨款基本支出578.93万元，其中：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568.59万元，包括：基本工资、津贴补贴、奖金、机关事业单位基本养老保险缴费、职工基本医疗保险缴费、公务员医疗补助缴费、其他社会保障缴费、住房公积金、其他工资福利支出、抚恤金、生活补助。</w:t>
      </w:r>
    </w:p>
    <w:p>
      <w:pPr>
        <w:ind w:firstLine="640" w:firstLineChars="200"/>
        <w:rPr>
          <w:rFonts w:ascii="仿宋_GB2312" w:eastAsia="仿宋_GB2312"/>
          <w:sz w:val="32"/>
          <w:szCs w:val="32"/>
        </w:rPr>
      </w:pPr>
      <w:r>
        <w:rPr>
          <w:rFonts w:ascii="仿宋_GB2312" w:hAnsi="仿宋_GB2312" w:eastAsia="仿宋_GB2312" w:cs="仿宋_GB2312"/>
          <w:sz w:val="32"/>
        </w:rPr>
        <w:t>公用经费10.34万元，包括：取暖费。</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26.44万元，比上年减少10.29万元，降低28.02%，主要原因是厉行节约，压缩“三公”经费开支。其中，因公出国（境）费支出0万元，占0%，比上年增加0万元，增长0%，主要原因是与上年相比无变动，与上年一致；公务用车购置及运行维护费支出26.44万元，占100%，比上年减少10.29万元，降低28.02%，主要原因是厉行节约，压缩“三公”经费开支；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因公出国（境）费支出0万元，开支内容包括：预算未安排，无此项支出。单位全年安排的因公出国（境）团组0个，因公出国（境）0人次。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公务用车购置及运行维护费26.44万元，其中，公务用车购置费0万元，公务用车运行维护费26.44万元。公务用车运行维护费开支内容包括车辆燃油费、修理费、保险费等。公务用车购置数0辆，公务用车保有量6辆。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0万元，决算数26.44万元，预决算差异率100%，主要原因是：年初未安排预算，实际产生的“三公”经费从项目中开支，因此决算数大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0万元，决算数26.44万元，预决算差异率100%，主要原因是：年初未安排预算，实际产生的“三公”经费从项目中开支，因此决算数大于年初预算数；公务接待费预算数0万元，决算数0万元，预决算差异率0%，主要原因是：预算未安排，也无相应支出，因此预决算无差异。</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2019年度新疆喀什地区麦盖提县人民检察院机关运行经费支出10.34万元，比上年减少56万元，降低84.41%，主要原因是差旅费、印刷费、燃油费等较去年减少。</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2019年度政府采购支出总额5.31万元，其中：政府采购货物支出0万元、政府采购工程支出0万元、政府采购服务支出5.31万元。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授予中小企业合同金额5.31万元，占政府采购支出总额的100%，其中：授予小微企业合同金额5.31万元，占政府采购支出总额的100%。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8,945.34（平方米），价值990.30万元。车辆6辆，价值124.39万元，其中：副部（省）级及以上领导用车0辆、主要领导干部用车0辆、机要通信用车0辆、应急保障用车0辆、执法执勤用车6辆、特种专业技术用车0辆、离退休干部用车0辆、其他用车0辆，其他用车主要是：无其他用车；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lang w:val="en-US"/>
        </w:rPr>
      </w:pPr>
      <w:bookmarkStart w:id="34" w:name="_Toc24143"/>
      <w:bookmarkStart w:id="35" w:name="_Toc3250"/>
      <w:r>
        <w:rPr>
          <w:rFonts w:hint="eastAsia" w:ascii="仿宋_GB2312" w:hAnsi="仿宋_GB2312" w:eastAsia="仿宋_GB2312" w:cs="仿宋_GB2312"/>
          <w:sz w:val="32"/>
          <w:lang w:val="en-US" w:eastAsia="zh-CN"/>
        </w:rPr>
        <w:t>根据预算绩效管理要求，我单位2019年度开展预算绩效评价项目0个，共涉及资金0万元。我单位项目涉密，不予公开。</w:t>
      </w:r>
    </w:p>
    <w:p>
      <w:pPr>
        <w:ind w:firstLine="640" w:firstLineChars="200"/>
        <w:jc w:val="center"/>
        <w:outlineLvl w:val="0"/>
        <w:rPr>
          <w:rFonts w:ascii="黑体" w:hAnsi="黑体" w:eastAsia="黑体"/>
          <w:sz w:val="32"/>
          <w:szCs w:val="32"/>
        </w:rPr>
      </w:pPr>
      <w:bookmarkStart w:id="54" w:name="_GoBack"/>
      <w:bookmarkEnd w:id="54"/>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7CA2A51"/>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1031</Words>
  <Characters>5881</Characters>
  <Lines>49</Lines>
  <Paragraphs>13</Paragraphs>
  <TotalTime>0</TotalTime>
  <ScaleCrop>false</ScaleCrop>
  <LinksUpToDate>false</LinksUpToDate>
  <CharactersWithSpaces>6899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2020-10-04T08:29:01Z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