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outlineLvl w:val="0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喀什地区麦盖提县扶贫项目资金支出</w:t>
      </w:r>
    </w:p>
    <w:p>
      <w:pPr>
        <w:spacing w:line="540" w:lineRule="exact"/>
        <w:jc w:val="center"/>
        <w:outlineLvl w:val="0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outlineLvl w:val="0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（2019年度）</w:t>
      </w: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Ansi="宋体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项目名称：央塔克乡保鲜库及附属设施建设项目</w:t>
      </w:r>
    </w:p>
    <w:p>
      <w:pPr>
        <w:spacing w:line="700" w:lineRule="exact"/>
        <w:jc w:val="left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实施单位（公章）：央塔克乡人民政府</w:t>
      </w:r>
    </w:p>
    <w:p>
      <w:pPr>
        <w:spacing w:line="700" w:lineRule="exact"/>
        <w:ind w:firstLine="755" w:firstLineChars="236"/>
        <w:jc w:val="left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主管部门（公章）：麦盖提县商务和工业信息化局</w:t>
      </w:r>
    </w:p>
    <w:p>
      <w:pPr>
        <w:spacing w:line="700" w:lineRule="exact"/>
        <w:ind w:firstLine="755" w:firstLineChars="236"/>
        <w:jc w:val="left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项目负责人（签章）：刘文郁</w:t>
      </w:r>
    </w:p>
    <w:p>
      <w:pPr>
        <w:spacing w:line="700" w:lineRule="exact"/>
        <w:ind w:firstLine="755" w:firstLineChars="236"/>
        <w:jc w:val="left"/>
        <w:outlineLvl w:val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填报时间：2019年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4" w:firstLineChars="200"/>
        <w:textAlignment w:val="auto"/>
        <w:outlineLvl w:val="0"/>
        <w:rPr>
          <w:rStyle w:val="9"/>
          <w:rFonts w:hint="eastAsia" w:ascii="黑体" w:hAnsi="黑体" w:eastAsia="黑体"/>
          <w:b w:val="0"/>
          <w:spacing w:val="-4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9"/>
          <w:rFonts w:ascii="楷体_GB2312" w:hAnsi="楷体" w:eastAsia="楷体_GB2312"/>
          <w:spacing w:val="-4"/>
          <w:sz w:val="32"/>
          <w:szCs w:val="32"/>
        </w:rPr>
      </w:pPr>
      <w:r>
        <w:rPr>
          <w:rStyle w:val="9"/>
          <w:rFonts w:hint="eastAsia" w:ascii="楷体_GB2312" w:hAnsi="楷体" w:eastAsia="楷体_GB2312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麦盖提县商工局主要职能有：负责全县商务和经济信息化领域各行业的管理，监测分析工业经济运行态势，指导中小企业改革与发展，协调解决有关重大问题；负责本县工业企业节能减排的综合协调和监督管理工作，对全县商贸流通企业加强监督管理，指导商业服务行业的协调发展，调查研究流通行业重大问题，提出政策建议；保障本单位行政、事业编职工，离退休职工工资福利及财政负担社保部分支出；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保障本单位的日常运转；本单位公务用车2车辆的日常维护与保养；购置库木库萨尔乡库木库萨尔村核桃加工设备及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扶贫工作间</w:t>
      </w:r>
      <w:r>
        <w:rPr>
          <w:rFonts w:hint="eastAsia" w:ascii="仿宋" w:hAnsi="仿宋" w:eastAsia="仿宋"/>
          <w:sz w:val="32"/>
          <w:szCs w:val="32"/>
        </w:rPr>
        <w:t>功能完善，产权归村集体所有，收益分配到贫困户；在五一林场新建保鲜库（冷藏库）1座及附属。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麦盖提县商工局在职工作人员22人，退休职工139人，党员共51名。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9"/>
          <w:rFonts w:ascii="楷体_GB2312" w:hAnsi="楷体" w:eastAsia="楷体_GB2312"/>
          <w:spacing w:val="-4"/>
          <w:sz w:val="32"/>
          <w:szCs w:val="32"/>
        </w:rPr>
      </w:pPr>
      <w:r>
        <w:rPr>
          <w:rStyle w:val="9"/>
          <w:rFonts w:hint="eastAsia" w:ascii="楷体_GB2312" w:hAnsi="楷体" w:eastAsia="楷体_GB2312"/>
          <w:spacing w:val="-4"/>
          <w:sz w:val="32"/>
          <w:szCs w:val="32"/>
          <w:lang w:val="en-US" w:eastAsia="zh-CN"/>
        </w:rPr>
        <w:t>项目简介</w:t>
      </w:r>
    </w:p>
    <w:p>
      <w:pPr>
        <w:keepNext w:val="0"/>
        <w:keepLines w:val="0"/>
        <w:pageBreakBefore w:val="0"/>
        <w:widowControl w:val="0"/>
        <w:tabs>
          <w:tab w:val="right" w:pos="77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解决贫困户就业，确保两不愁三保障，贫困户脱贫致富,在央塔克乡哈曼阔依地村新建保鲜库（冷藏库）1座及附属，提高农产品附加值。产权分别归属托万阿克提坎村1座、哈曼阔依地村1座。村集体收益。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Style w:val="9"/>
          <w:rFonts w:ascii="楷体_GB2312" w:hAnsi="楷体" w:eastAsia="楷体_GB2312"/>
          <w:spacing w:val="-4"/>
          <w:sz w:val="32"/>
          <w:szCs w:val="32"/>
        </w:rPr>
      </w:pPr>
      <w:r>
        <w:rPr>
          <w:rStyle w:val="9"/>
          <w:rFonts w:hint="eastAsia" w:ascii="楷体_GB2312" w:hAnsi="楷体" w:eastAsia="楷体_GB2312"/>
          <w:spacing w:val="-4"/>
          <w:sz w:val="32"/>
          <w:szCs w:val="32"/>
          <w:lang w:val="en-US" w:eastAsia="zh-CN"/>
        </w:rPr>
        <w:t>（三）项目</w:t>
      </w:r>
      <w:r>
        <w:rPr>
          <w:rStyle w:val="9"/>
          <w:rFonts w:hint="eastAsia" w:ascii="楷体_GB2312" w:hAnsi="楷体" w:eastAsia="楷体_GB2312"/>
          <w:spacing w:val="-4"/>
          <w:sz w:val="32"/>
          <w:szCs w:val="32"/>
        </w:rPr>
        <w:t>预算绩效目标设定情况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</w:rPr>
        <w:t>《关于下达2019年中央提前告知财政专项扶贫资金预算指标的通知》（喀地财扶〔2018〕62号、麦财农〔2018〕130号）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文件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确定了该项目的资金来源；根据《关于下达2019年涉农整合资金的通知》（麦扶财[2019</w:t>
      </w:r>
      <w:r>
        <w:rPr>
          <w:rFonts w:ascii="仿宋" w:hAnsi="仿宋" w:eastAsia="仿宋"/>
          <w:sz w:val="32"/>
          <w:szCs w:val="32"/>
        </w:rPr>
        <w:t>]</w:t>
      </w:r>
      <w:r>
        <w:rPr>
          <w:rFonts w:hint="eastAsia" w:ascii="仿宋" w:hAnsi="仿宋" w:eastAsia="仿宋"/>
          <w:sz w:val="32"/>
          <w:szCs w:val="32"/>
        </w:rPr>
        <w:t>26号）文件，本项目下达财政扶贫补助预算资金210万元。</w:t>
      </w:r>
    </w:p>
    <w:p>
      <w:pPr>
        <w:keepNext w:val="0"/>
        <w:keepLines w:val="0"/>
        <w:pageBreakBefore w:val="0"/>
        <w:widowControl w:val="0"/>
        <w:tabs>
          <w:tab w:val="left" w:pos="7272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绩效目标情况：项目实施时间2019年1月15日-2019年4月30日；</w:t>
      </w:r>
      <w:r>
        <w:rPr>
          <w:rFonts w:hint="eastAsia" w:ascii="仿宋" w:hAnsi="仿宋" w:eastAsia="仿宋" w:cs="仿宋_GB2312"/>
          <w:sz w:val="32"/>
          <w:szCs w:val="32"/>
        </w:rPr>
        <w:t>央塔克乡哈曼阔依地村新建1000立方米保鲜库2座及附属，每座105万元，投入资金210万元，主要用于厂房及附属设施建设，提高农产品附加值。产权分别归属托万阿克提坎村1座、哈曼阔依地村1座。村集体收益。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outlineLvl w:val="1"/>
        <w:rPr>
          <w:rStyle w:val="9"/>
          <w:rFonts w:ascii="楷体" w:hAnsi="楷体" w:eastAsia="楷体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根据《关于下达2019年涉农整合资金的通知》（麦扶财字[2019</w:t>
      </w:r>
      <w:r>
        <w:rPr>
          <w:rFonts w:ascii="仿宋" w:hAnsi="仿宋" w:eastAsia="仿宋" w:cs="仿宋"/>
          <w:color w:val="0C0C0C"/>
          <w:sz w:val="32"/>
          <w:szCs w:val="32"/>
        </w:rPr>
        <w:t>]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22号）要求，</w:t>
      </w:r>
      <w:r>
        <w:rPr>
          <w:rFonts w:hint="eastAsia" w:ascii="仿宋" w:hAnsi="仿宋" w:eastAsia="仿宋"/>
          <w:sz w:val="32"/>
          <w:szCs w:val="32"/>
        </w:rPr>
        <w:t>本项目资金210万元，其中财政资金210万元，其他资金0万元，资金到位210万元；资金到位率100%。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outlineLvl w:val="1"/>
        <w:rPr>
          <w:rStyle w:val="9"/>
          <w:rFonts w:ascii="楷体" w:hAnsi="楷体" w:eastAsia="楷体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根据《关于下达2019年涉农整合资金的通知》（麦扶财字[2019</w:t>
      </w:r>
      <w:r>
        <w:rPr>
          <w:rFonts w:ascii="仿宋" w:hAnsi="仿宋" w:eastAsia="仿宋" w:cs="仿宋"/>
          <w:color w:val="0C0C0C"/>
          <w:sz w:val="32"/>
          <w:szCs w:val="32"/>
        </w:rPr>
        <w:t>]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26号）</w:t>
      </w:r>
      <w:r>
        <w:rPr>
          <w:rFonts w:hint="eastAsia" w:ascii="仿宋" w:hAnsi="仿宋" w:eastAsia="仿宋"/>
          <w:sz w:val="32"/>
          <w:szCs w:val="32"/>
        </w:rPr>
        <w:t>文件关于下达涉农整合资金，本项目总资金210万元，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_GB2312"/>
          <w:sz w:val="32"/>
          <w:szCs w:val="32"/>
        </w:rPr>
        <w:t>194.830474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万元，项目结余资金</w:t>
      </w:r>
      <w:r>
        <w:rPr>
          <w:rFonts w:hint="eastAsia" w:ascii="仿宋" w:hAnsi="仿宋" w:eastAsia="仿宋" w:cs="仿宋_GB2312"/>
          <w:sz w:val="32"/>
          <w:szCs w:val="32"/>
        </w:rPr>
        <w:t>15.169526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  <w:lang w:val="en-US" w:eastAsia="zh-CN"/>
        </w:rPr>
        <w:t>已交付财政，项目实际预算执行率为100%</w:t>
      </w:r>
      <w:r>
        <w:rPr>
          <w:rFonts w:hint="eastAsia" w:ascii="仿宋" w:hAnsi="仿宋" w:eastAsia="仿宋" w:cs="仿宋_GB2312"/>
          <w:bCs/>
          <w:spacing w:val="-4"/>
          <w:sz w:val="32"/>
          <w:szCs w:val="32"/>
        </w:rPr>
        <w:t>。项目资金主要</w:t>
      </w:r>
      <w:r>
        <w:rPr>
          <w:rFonts w:hint="eastAsia" w:ascii="仿宋" w:hAnsi="仿宋" w:eastAsia="仿宋" w:cs="仿宋_GB2312"/>
          <w:sz w:val="32"/>
          <w:szCs w:val="32"/>
        </w:rPr>
        <w:t>由图木舒克市巨纳市政工程有限公司承建土建部分，中标价为：146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61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3676</w:t>
      </w:r>
      <w:r>
        <w:rPr>
          <w:rFonts w:hint="eastAsia" w:ascii="仿宋" w:hAnsi="仿宋" w:eastAsia="仿宋" w:cs="仿宋_GB2312"/>
          <w:sz w:val="32"/>
          <w:szCs w:val="32"/>
        </w:rPr>
        <w:t>万元，审定价为141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412454</w:t>
      </w:r>
      <w:r>
        <w:rPr>
          <w:rFonts w:hint="eastAsia" w:ascii="仿宋" w:hAnsi="仿宋" w:eastAsia="仿宋" w:cs="仿宋_GB2312"/>
          <w:sz w:val="32"/>
          <w:szCs w:val="32"/>
        </w:rPr>
        <w:t>万元，由新疆喀什电盛有限责任公司承建电力工程，中标价为：19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99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2215</w:t>
      </w:r>
      <w:r>
        <w:rPr>
          <w:rFonts w:hint="eastAsia" w:ascii="仿宋" w:hAnsi="仿宋" w:eastAsia="仿宋" w:cs="仿宋_GB2312"/>
          <w:sz w:val="32"/>
          <w:szCs w:val="32"/>
        </w:rPr>
        <w:t>万元，审定价为19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89651</w:t>
      </w:r>
      <w:r>
        <w:rPr>
          <w:rFonts w:hint="eastAsia" w:ascii="仿宋" w:hAnsi="仿宋" w:eastAsia="仿宋" w:cs="仿宋_GB2312"/>
          <w:sz w:val="32"/>
          <w:szCs w:val="32"/>
        </w:rPr>
        <w:t>万元，由新疆大漠丰源农业科技有限公司为保鲜库制冷设备供货，合同价24万元，审计费0.8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15005</w:t>
      </w:r>
      <w:r>
        <w:rPr>
          <w:rFonts w:hint="eastAsia" w:ascii="仿宋" w:hAnsi="仿宋" w:eastAsia="仿宋" w:cs="仿宋_GB2312"/>
          <w:sz w:val="32"/>
          <w:szCs w:val="32"/>
        </w:rPr>
        <w:t>万元、地勘费0.5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万元、设计费5万元、监理费1.7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59364</w:t>
      </w:r>
      <w:r>
        <w:rPr>
          <w:rFonts w:hint="eastAsia" w:ascii="仿宋" w:hAnsi="仿宋" w:eastAsia="仿宋" w:cs="仿宋_GB2312"/>
          <w:sz w:val="32"/>
          <w:szCs w:val="32"/>
        </w:rPr>
        <w:t>万元、招标代理费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1.3262万元、评审费0.3678万元、测绘费0.2万元。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outlineLvl w:val="1"/>
        <w:rPr>
          <w:rStyle w:val="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资金使用严格按照《喀什地区财政扶贫资金管理办法（试行）》规定，涉及乡镇人民政府单位根据项目执行进度拨付工程款，资金支付由分管县委领导、主管财务县委领导、县财政局及扶贫办等各级部门审批审核；资金拨付由财政直接支付施工企业。不存在截留、挤占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outlineLvl w:val="1"/>
        <w:rPr>
          <w:rStyle w:val="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本项目总资金210万元，本项目实际支付资金</w:t>
      </w:r>
      <w:r>
        <w:rPr>
          <w:rFonts w:hint="eastAsia" w:ascii="仿宋" w:hAnsi="仿宋" w:eastAsia="仿宋" w:cs="仿宋_GB2312"/>
          <w:sz w:val="32"/>
          <w:szCs w:val="32"/>
        </w:rPr>
        <w:t>194.830474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项目2019年4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月开工，8月完工。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outlineLvl w:val="1"/>
        <w:rPr>
          <w:rStyle w:val="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项目实施过程中，严格遵守相关法律法规和业务管理规定，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不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定期对项目进度情况进行督导检查，对检查过程中发现的问题及时督促整改，确保了项目按时保质完成。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四、项目绩效目标完成情况分析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本项目共设置一级指标3个，二级指标8个，三级指标12个，其中已完成三级指标10个，指标完成率为83.33%。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（一）产出指标完成情况分析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项目完成数量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根据项目绩效目标设定内容，本项目申报设定数量全部完成，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其中：冷库大小指标预期值≥1000立方米，实际完成值1000立方米，该指标权值分为6分，得分6分；冷库数量指标预期值≥2座，实际完成值2座，该指标权值分为6分，得分6分；储存数量指标预期值≥200吨，实际完成值200吨，该指标权值分为6分，得分3分；数量指标总权值分18分，得分18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项目完成质量。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项目质量指标验收合格率（GB50274-9）指标预期值100%，实际完成值100%，该指标权值分为6分，得分6分；冷库出租率指标预期值100%，实际完成值100%，该指标权值分为7分，得分7分；质量指标总权值分13分，得分13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0C0C0C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完成时效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本项目计划实施进度为2019年1月-2019年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5月设立时效指标2019年1月开工及时率指标预期值100%，实际完成值0%，该指标权值分为6分，得分0分；2019年5月完工及时率指标预期值100%，实际完成值0%，该指标权值分为6分，得分0分，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项目因前期准备和施工环境原因，工作进展较慢，项目开工日期由原2019年1月15日延到2019年4月底，故项目完工时间到2019年8月底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；时效指标总权值分12分，得分0分。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600" w:left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项目成本节约情况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该项目成本指标冷库基础建设成本指标预计值≤1.05万元，实际完成值0.97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万元。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该指标权值分为7分，得分7分，成本指标总权衡分值7分，得分7分。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outlineLvl w:val="2"/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二）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  <w:t>效益指标完成情况分析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项目实施的经济效益分析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经济效益指标：</w:t>
      </w:r>
      <w:r>
        <w:rPr>
          <w:rFonts w:hint="eastAsia" w:ascii="仿宋" w:hAnsi="仿宋" w:eastAsia="仿宋" w:cs="仿宋"/>
          <w:sz w:val="32"/>
          <w:szCs w:val="32"/>
        </w:rPr>
        <w:t>带动增加贫困人口全年总收入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预期值≥6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实际完成值6万元，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该指标权值分为10分，得分10分，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经济效益指标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总权衡分值10分，得分10分。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项目实施的社会效益分析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社会效益指标：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受益建档立卡贫困人口数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指标预期值≥3人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实际完成值3人，该指标权值分为10分，得分10分；社会效益指标总权衡分值10分，得分10分。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项目实施的生态效益分析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项目实施的可持续影响分析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使用年限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指标预期值≥10年，实际完成值10年，该指标权值分为10分，得分10分。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总权衡分值10分，得分10分。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outlineLvl w:val="2"/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三）</w:t>
      </w:r>
      <w:r>
        <w:rPr>
          <w:rFonts w:hint="eastAsia" w:ascii="楷体" w:hAnsi="楷体" w:eastAsia="楷体" w:cs="楷体"/>
          <w:b/>
          <w:bCs/>
          <w:color w:val="0C0C0C"/>
          <w:sz w:val="32"/>
          <w:szCs w:val="32"/>
        </w:rPr>
        <w:t>满意度指标完成情况分析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受益对象满意度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指标预期值≥95%，实际完成值95%。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项目已做满意度调查问卷，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该指标权值分为10分，得分10分，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总权衡分值10分，得分10分。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五、绩效目标未完成的原因分析改进措施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本项目因前期准备和施工环境原因，工作进展较慢，项目开工日期由原2019年1月15日延到2019年4月底，故项目完工时间到2019年8月底。但项目实施内容全部完成。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Style w:val="9"/>
          <w:rFonts w:hint="default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综合评价结论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经综合评价，本项目达成预期指标，在项目实施过程中，做到了资金使用、管理、保障到位，严格执行扶贫资金管理办法和财政资金管理制度，按照项目实施方案、招投标管理办法，根据年初设定的绩效目标，此项目综合评价得分为93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default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七、项目实施的经验、问题、建议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（一）主要经验及做法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年初做好资金计划，按照项目进度及时拨付资金，使资金使用效益最大化，减少不必要的浪费，节约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color w:val="0C0C0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（二）存在问题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项目启动时同步做好档案的归纳与整理，及时整理、收集、汇总，健全档案资料。部门单位根据自己项目的特点进行总结。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0"/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C0C0C"/>
          <w:sz w:val="32"/>
          <w:szCs w:val="32"/>
          <w:lang w:val="en-US" w:eastAsia="zh-CN"/>
        </w:rPr>
        <w:t>（三）建议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项目后续管理有待进一步加强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default" w:ascii="黑体" w:hAnsi="黑体" w:eastAsia="黑体"/>
          <w:b w:val="0"/>
          <w:spacing w:val="-4"/>
          <w:sz w:val="32"/>
          <w:szCs w:val="32"/>
          <w:lang w:val="en-US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八、绩效评价工作有关说明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次评价通过文件研读、实地调研、数据分析等方式，全面了解了项目资金的使用效率和效果，项目管理过程规范，按照实施方案完成了预期绩效目标。通过开展预算绩效管理和绩效自评工作，建立科学合理的绩效机制，客观准确的评价我单位项目绩效，不断完善绩效评价体系，加强监督检查和考核工作。同时，通过开展自我评价来总结经验</w:t>
      </w:r>
      <w:r>
        <w:rPr>
          <w:rFonts w:ascii="仿宋" w:hAnsi="仿宋" w:eastAsia="仿宋" w:cs="仿宋"/>
          <w:color w:val="0C0C0C"/>
          <w:sz w:val="32"/>
          <w:szCs w:val="32"/>
        </w:rPr>
        <w:t>,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为今后同类项目的执行与实施提供了参考依据。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</w:rPr>
        <w:t>本项目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绩效自评结果将根据上级要求时间予以公开，接受社会公众监督。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0"/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九、附表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《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绩效目标自评表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》</w:t>
      </w:r>
    </w:p>
    <w:p>
      <w:pPr>
        <w:pStyle w:val="2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9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375778"/>
    <w:multiLevelType w:val="singleLevel"/>
    <w:tmpl w:val="883757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50BF1"/>
    <w:rsid w:val="0006301F"/>
    <w:rsid w:val="000732DA"/>
    <w:rsid w:val="00075CDC"/>
    <w:rsid w:val="000B1E8F"/>
    <w:rsid w:val="000B4A42"/>
    <w:rsid w:val="000D63B0"/>
    <w:rsid w:val="00103D16"/>
    <w:rsid w:val="00155D27"/>
    <w:rsid w:val="00164D84"/>
    <w:rsid w:val="001D5CD1"/>
    <w:rsid w:val="00223F1C"/>
    <w:rsid w:val="00250053"/>
    <w:rsid w:val="002F7164"/>
    <w:rsid w:val="00316F93"/>
    <w:rsid w:val="0032600D"/>
    <w:rsid w:val="00366B80"/>
    <w:rsid w:val="003820BF"/>
    <w:rsid w:val="003C049E"/>
    <w:rsid w:val="003C6374"/>
    <w:rsid w:val="005950CE"/>
    <w:rsid w:val="005A5F0A"/>
    <w:rsid w:val="005C745D"/>
    <w:rsid w:val="00606D86"/>
    <w:rsid w:val="00685E95"/>
    <w:rsid w:val="006C03FA"/>
    <w:rsid w:val="0082101A"/>
    <w:rsid w:val="008478A3"/>
    <w:rsid w:val="008A0701"/>
    <w:rsid w:val="008C6F05"/>
    <w:rsid w:val="00952AEA"/>
    <w:rsid w:val="00A307D0"/>
    <w:rsid w:val="00A63F01"/>
    <w:rsid w:val="00AA0977"/>
    <w:rsid w:val="00BE187A"/>
    <w:rsid w:val="00BE37FA"/>
    <w:rsid w:val="00C446D1"/>
    <w:rsid w:val="00D63908"/>
    <w:rsid w:val="00DE57E6"/>
    <w:rsid w:val="00DF415E"/>
    <w:rsid w:val="00E26D87"/>
    <w:rsid w:val="00EE4EFD"/>
    <w:rsid w:val="00F57F82"/>
    <w:rsid w:val="00FA357A"/>
    <w:rsid w:val="037D0BC8"/>
    <w:rsid w:val="067C0534"/>
    <w:rsid w:val="079F2FF6"/>
    <w:rsid w:val="0845082D"/>
    <w:rsid w:val="0E023623"/>
    <w:rsid w:val="0E444DC3"/>
    <w:rsid w:val="103C7404"/>
    <w:rsid w:val="139840D3"/>
    <w:rsid w:val="143E091F"/>
    <w:rsid w:val="14865FC8"/>
    <w:rsid w:val="150C2DB0"/>
    <w:rsid w:val="154278BA"/>
    <w:rsid w:val="19385B6B"/>
    <w:rsid w:val="1AE20DF7"/>
    <w:rsid w:val="1B1C747C"/>
    <w:rsid w:val="1E761F05"/>
    <w:rsid w:val="1FC7205C"/>
    <w:rsid w:val="202419C9"/>
    <w:rsid w:val="228B3D05"/>
    <w:rsid w:val="27D06AF0"/>
    <w:rsid w:val="2A106E2B"/>
    <w:rsid w:val="2B495733"/>
    <w:rsid w:val="2E404C67"/>
    <w:rsid w:val="2ED335A7"/>
    <w:rsid w:val="348C6B6D"/>
    <w:rsid w:val="354A388B"/>
    <w:rsid w:val="359405E9"/>
    <w:rsid w:val="38EF7AD8"/>
    <w:rsid w:val="3A7E5F8D"/>
    <w:rsid w:val="415F08D8"/>
    <w:rsid w:val="44AD05A5"/>
    <w:rsid w:val="44C16EF1"/>
    <w:rsid w:val="44E2230F"/>
    <w:rsid w:val="46335D0B"/>
    <w:rsid w:val="463B258E"/>
    <w:rsid w:val="48B51347"/>
    <w:rsid w:val="49B94B1E"/>
    <w:rsid w:val="4A09104B"/>
    <w:rsid w:val="4A55216A"/>
    <w:rsid w:val="4AF10263"/>
    <w:rsid w:val="4D5451D7"/>
    <w:rsid w:val="4FB9068F"/>
    <w:rsid w:val="4FE0696A"/>
    <w:rsid w:val="50474F32"/>
    <w:rsid w:val="50941E52"/>
    <w:rsid w:val="5103679B"/>
    <w:rsid w:val="5244640D"/>
    <w:rsid w:val="55673508"/>
    <w:rsid w:val="55F529C8"/>
    <w:rsid w:val="56723CAF"/>
    <w:rsid w:val="59595A6F"/>
    <w:rsid w:val="59832539"/>
    <w:rsid w:val="599330CA"/>
    <w:rsid w:val="5C677976"/>
    <w:rsid w:val="60D5009F"/>
    <w:rsid w:val="656C5BF5"/>
    <w:rsid w:val="660721C9"/>
    <w:rsid w:val="661E6C75"/>
    <w:rsid w:val="67F75FF5"/>
    <w:rsid w:val="692E4B19"/>
    <w:rsid w:val="69513EF7"/>
    <w:rsid w:val="6ADE28BD"/>
    <w:rsid w:val="6BE3064B"/>
    <w:rsid w:val="6BF3256F"/>
    <w:rsid w:val="6CE7018A"/>
    <w:rsid w:val="6D7B1F94"/>
    <w:rsid w:val="6E3E3F2D"/>
    <w:rsid w:val="715B2F02"/>
    <w:rsid w:val="718506E1"/>
    <w:rsid w:val="724F763F"/>
    <w:rsid w:val="744C628D"/>
    <w:rsid w:val="750C42EE"/>
    <w:rsid w:val="76A548F2"/>
    <w:rsid w:val="76CE37D6"/>
    <w:rsid w:val="7765772E"/>
    <w:rsid w:val="77867685"/>
    <w:rsid w:val="781F36B6"/>
    <w:rsid w:val="78A33C20"/>
    <w:rsid w:val="790627AD"/>
    <w:rsid w:val="7ADC59FA"/>
    <w:rsid w:val="7AEE63BA"/>
    <w:rsid w:val="7DDD794F"/>
    <w:rsid w:val="7ED5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99"/>
    <w:pPr>
      <w:keepNext/>
      <w:widowControl/>
      <w:spacing w:before="240" w:after="60"/>
      <w:jc w:val="left"/>
      <w:outlineLvl w:val="2"/>
    </w:pPr>
    <w:rPr>
      <w:rFonts w:ascii="Calibri Light" w:hAnsi="Calibri Light" w:eastAsia="宋体"/>
      <w:b/>
      <w:bCs/>
      <w:kern w:val="0"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rPr>
      <w:rFonts w:eastAsia="宋体"/>
      <w:sz w:val="24"/>
      <w:szCs w:val="20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1">
    <w:name w:val="页眉 字符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字符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21"/>
    <w:basedOn w:val="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1"/>
    <w:basedOn w:val="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7">
    <w:name w:val="font31"/>
    <w:basedOn w:val="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18">
    <w:name w:val="font1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9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标题 1 字符"/>
    <w:basedOn w:val="8"/>
    <w:link w:val="3"/>
    <w:qFormat/>
    <w:uiPriority w:val="0"/>
    <w:rPr>
      <w:rFonts w:eastAsia="仿宋_GB2312"/>
      <w:b/>
      <w:bCs/>
      <w:kern w:val="44"/>
      <w:sz w:val="44"/>
      <w:szCs w:val="44"/>
    </w:rPr>
  </w:style>
  <w:style w:type="character" w:customStyle="1" w:styleId="21">
    <w:name w:val="font112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01"/>
    <w:basedOn w:val="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664</Words>
  <Characters>3791</Characters>
  <Lines>31</Lines>
  <Paragraphs>8</Paragraphs>
  <TotalTime>2</TotalTime>
  <ScaleCrop>false</ScaleCrop>
  <LinksUpToDate>false</LinksUpToDate>
  <CharactersWithSpaces>4447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Administrator</cp:lastModifiedBy>
  <cp:lastPrinted>2018-12-24T07:47:00Z</cp:lastPrinted>
  <dcterms:modified xsi:type="dcterms:W3CDTF">2020-09-02T11:50:08Z</dcterms:modified>
  <dc:title>财政支出绩效评价报告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