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3A8" w:rsidRDefault="008853A8">
      <w:pPr>
        <w:rPr>
          <w:rFonts w:ascii="黑体" w:eastAsia="黑体" w:hAnsi="黑体"/>
          <w:sz w:val="32"/>
          <w:szCs w:val="32"/>
        </w:rPr>
      </w:pPr>
      <w:r>
        <w:rPr>
          <w:rFonts w:ascii="黑体" w:eastAsia="黑体" w:hAnsi="黑体" w:hint="eastAsia"/>
          <w:sz w:val="32"/>
          <w:szCs w:val="32"/>
        </w:rPr>
        <w:t>附件：</w:t>
      </w:r>
    </w:p>
    <w:p w:rsidR="008853A8" w:rsidRDefault="008853A8">
      <w:pPr>
        <w:jc w:val="center"/>
        <w:rPr>
          <w:rFonts w:ascii="方正小标宋_GBK" w:eastAsia="方正小标宋_GBK" w:hAnsi="宋体"/>
          <w:sz w:val="44"/>
          <w:szCs w:val="44"/>
        </w:rPr>
      </w:pPr>
    </w:p>
    <w:p w:rsidR="008853A8" w:rsidRDefault="008853A8">
      <w:pPr>
        <w:jc w:val="center"/>
        <w:rPr>
          <w:rFonts w:ascii="方正小标宋_GBK" w:eastAsia="方正小标宋_GBK" w:hAnsi="宋体"/>
          <w:sz w:val="44"/>
          <w:szCs w:val="44"/>
        </w:rPr>
      </w:pPr>
    </w:p>
    <w:p w:rsidR="008853A8" w:rsidRDefault="008853A8">
      <w:pPr>
        <w:jc w:val="center"/>
        <w:rPr>
          <w:rFonts w:ascii="方正小标宋_GBK" w:eastAsia="方正小标宋_GBK" w:hAnsi="宋体"/>
          <w:sz w:val="44"/>
          <w:szCs w:val="44"/>
        </w:rPr>
      </w:pPr>
    </w:p>
    <w:p w:rsidR="008853A8" w:rsidRDefault="008853A8">
      <w:pPr>
        <w:jc w:val="center"/>
        <w:rPr>
          <w:rFonts w:ascii="方正小标宋_GBK" w:eastAsia="方正小标宋_GBK" w:hAnsi="宋体"/>
          <w:sz w:val="44"/>
          <w:szCs w:val="44"/>
        </w:rPr>
      </w:pPr>
    </w:p>
    <w:p w:rsidR="008853A8" w:rsidRDefault="00377EC6">
      <w:pPr>
        <w:jc w:val="center"/>
        <w:rPr>
          <w:rFonts w:ascii="方正小标宋_GBK" w:eastAsia="方正小标宋_GBK" w:hAnsi="宋体"/>
          <w:sz w:val="44"/>
          <w:szCs w:val="44"/>
        </w:rPr>
      </w:pPr>
      <w:r>
        <w:rPr>
          <w:rFonts w:ascii="方正小标宋_GBK" w:eastAsia="方正小标宋_GBK" w:hAnsi="方正小标宋_GBK" w:cs="方正小标宋_GBK"/>
          <w:sz w:val="44"/>
        </w:rPr>
        <w:t>新疆喀什地区麦盖提县审计局2019年度部门决算公开说明</w:t>
      </w:r>
    </w:p>
    <w:p w:rsidR="008853A8" w:rsidRDefault="008853A8">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t>目 录</w:t>
      </w:r>
    </w:p>
    <w:p w:rsidR="008853A8" w:rsidRDefault="009042F1">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sidR="008853A8">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8853A8">
          <w:rPr>
            <w:rFonts w:ascii="仿宋_GB2312" w:eastAsia="仿宋_GB2312" w:hAnsi="仿宋_GB2312" w:cs="仿宋_GB2312" w:hint="eastAsia"/>
            <w:b/>
            <w:bCs/>
            <w:sz w:val="32"/>
            <w:szCs w:val="32"/>
          </w:rPr>
          <w:t>第一部分 部门单位概况</w:t>
        </w:r>
      </w:hyperlink>
    </w:p>
    <w:p w:rsidR="008853A8" w:rsidRDefault="009042F1">
      <w:pPr>
        <w:pStyle w:val="2"/>
        <w:tabs>
          <w:tab w:val="right" w:pos="8306"/>
        </w:tabs>
        <w:ind w:leftChars="0" w:left="0"/>
        <w:rPr>
          <w:rFonts w:ascii="仿宋_GB2312" w:eastAsia="仿宋_GB2312" w:hAnsi="仿宋_GB2312" w:cs="仿宋_GB2312"/>
          <w:sz w:val="32"/>
          <w:szCs w:val="32"/>
        </w:rPr>
      </w:pPr>
      <w:hyperlink w:anchor="_Toc30567" w:history="1">
        <w:r w:rsidR="008853A8">
          <w:rPr>
            <w:rFonts w:ascii="仿宋_GB2312" w:eastAsia="仿宋_GB2312" w:hAnsi="仿宋_GB2312" w:cs="仿宋_GB2312" w:hint="eastAsia"/>
            <w:bCs/>
            <w:kern w:val="0"/>
            <w:sz w:val="32"/>
            <w:szCs w:val="32"/>
          </w:rPr>
          <w:t>一、主要职能</w:t>
        </w:r>
      </w:hyperlink>
    </w:p>
    <w:p w:rsidR="008853A8" w:rsidRDefault="009042F1">
      <w:pPr>
        <w:pStyle w:val="2"/>
        <w:tabs>
          <w:tab w:val="right" w:pos="8306"/>
        </w:tabs>
        <w:ind w:leftChars="0" w:left="0"/>
        <w:rPr>
          <w:rFonts w:ascii="仿宋_GB2312" w:eastAsia="仿宋_GB2312" w:hAnsi="仿宋_GB2312" w:cs="仿宋_GB2312"/>
          <w:sz w:val="32"/>
          <w:szCs w:val="32"/>
        </w:rPr>
      </w:pPr>
      <w:hyperlink w:anchor="_Toc2151" w:history="1">
        <w:r w:rsidR="008853A8">
          <w:rPr>
            <w:rFonts w:ascii="仿宋_GB2312" w:eastAsia="仿宋_GB2312" w:hAnsi="仿宋_GB2312" w:cs="仿宋_GB2312" w:hint="eastAsia"/>
            <w:bCs/>
            <w:kern w:val="0"/>
            <w:sz w:val="32"/>
            <w:szCs w:val="32"/>
          </w:rPr>
          <w:t>二、机构设置及人员情况</w:t>
        </w:r>
      </w:hyperlink>
    </w:p>
    <w:p w:rsidR="008853A8" w:rsidRDefault="009042F1">
      <w:pPr>
        <w:pStyle w:val="1"/>
        <w:tabs>
          <w:tab w:val="right" w:pos="8306"/>
        </w:tabs>
        <w:rPr>
          <w:rFonts w:ascii="仿宋_GB2312" w:eastAsia="仿宋_GB2312" w:hAnsi="仿宋_GB2312" w:cs="仿宋_GB2312"/>
          <w:b/>
          <w:bCs/>
          <w:sz w:val="32"/>
          <w:szCs w:val="32"/>
        </w:rPr>
      </w:pPr>
      <w:hyperlink w:anchor="_Toc29374" w:history="1">
        <w:r w:rsidR="008853A8">
          <w:rPr>
            <w:rFonts w:ascii="仿宋_GB2312" w:eastAsia="仿宋_GB2312" w:hAnsi="仿宋_GB2312" w:cs="仿宋_GB2312" w:hint="eastAsia"/>
            <w:b/>
            <w:bCs/>
            <w:sz w:val="32"/>
            <w:szCs w:val="32"/>
          </w:rPr>
          <w:t>第二部分 部门决算情况说明</w:t>
        </w:r>
      </w:hyperlink>
    </w:p>
    <w:p w:rsidR="008853A8" w:rsidRDefault="009042F1">
      <w:pPr>
        <w:pStyle w:val="2"/>
        <w:tabs>
          <w:tab w:val="right" w:pos="8306"/>
        </w:tabs>
        <w:ind w:leftChars="0" w:left="0"/>
        <w:rPr>
          <w:rFonts w:ascii="仿宋_GB2312" w:eastAsia="仿宋_GB2312" w:hAnsi="仿宋_GB2312" w:cs="仿宋_GB2312"/>
          <w:sz w:val="32"/>
          <w:szCs w:val="32"/>
        </w:rPr>
      </w:pPr>
      <w:hyperlink w:anchor="_Toc25314" w:history="1">
        <w:r w:rsidR="008853A8">
          <w:rPr>
            <w:rFonts w:ascii="仿宋_GB2312" w:eastAsia="仿宋_GB2312" w:hAnsi="仿宋_GB2312" w:cs="仿宋_GB2312" w:hint="eastAsia"/>
            <w:bCs/>
            <w:kern w:val="0"/>
            <w:sz w:val="32"/>
            <w:szCs w:val="32"/>
          </w:rPr>
          <w:t>一、收入支出决算总体情况说明</w:t>
        </w:r>
      </w:hyperlink>
    </w:p>
    <w:p w:rsidR="008853A8" w:rsidRDefault="009042F1">
      <w:pPr>
        <w:pStyle w:val="2"/>
        <w:tabs>
          <w:tab w:val="right" w:pos="8306"/>
        </w:tabs>
        <w:ind w:leftChars="0" w:left="0"/>
        <w:rPr>
          <w:rFonts w:ascii="仿宋_GB2312" w:eastAsia="仿宋_GB2312" w:hAnsi="仿宋_GB2312" w:cs="仿宋_GB2312"/>
          <w:sz w:val="32"/>
          <w:szCs w:val="32"/>
        </w:rPr>
      </w:pPr>
      <w:hyperlink w:anchor="_Toc12142" w:history="1">
        <w:r w:rsidR="008853A8">
          <w:rPr>
            <w:rFonts w:ascii="仿宋_GB2312" w:eastAsia="仿宋_GB2312" w:hAnsi="仿宋_GB2312" w:cs="仿宋_GB2312" w:hint="eastAsia"/>
            <w:bCs/>
            <w:kern w:val="0"/>
            <w:sz w:val="32"/>
            <w:szCs w:val="32"/>
          </w:rPr>
          <w:t>二、收入决算情况说明</w:t>
        </w:r>
      </w:hyperlink>
    </w:p>
    <w:p w:rsidR="008853A8" w:rsidRDefault="009042F1">
      <w:pPr>
        <w:pStyle w:val="2"/>
        <w:tabs>
          <w:tab w:val="right" w:pos="8306"/>
        </w:tabs>
        <w:ind w:leftChars="0" w:left="0"/>
        <w:rPr>
          <w:rFonts w:ascii="仿宋_GB2312" w:eastAsia="仿宋_GB2312" w:hAnsi="仿宋_GB2312" w:cs="仿宋_GB2312"/>
          <w:sz w:val="32"/>
          <w:szCs w:val="32"/>
        </w:rPr>
      </w:pPr>
      <w:hyperlink w:anchor="_Toc13201" w:history="1">
        <w:r w:rsidR="008853A8">
          <w:rPr>
            <w:rFonts w:ascii="仿宋_GB2312" w:eastAsia="仿宋_GB2312" w:hAnsi="仿宋_GB2312" w:cs="仿宋_GB2312" w:hint="eastAsia"/>
            <w:bCs/>
            <w:kern w:val="0"/>
            <w:sz w:val="32"/>
            <w:szCs w:val="32"/>
          </w:rPr>
          <w:t>三、支出决算情况说明</w:t>
        </w:r>
      </w:hyperlink>
    </w:p>
    <w:p w:rsidR="008853A8" w:rsidRDefault="009042F1">
      <w:pPr>
        <w:pStyle w:val="2"/>
        <w:tabs>
          <w:tab w:val="right" w:pos="8306"/>
        </w:tabs>
        <w:ind w:leftChars="0" w:left="0"/>
        <w:rPr>
          <w:rFonts w:ascii="仿宋_GB2312" w:eastAsia="仿宋_GB2312" w:hAnsi="仿宋_GB2312" w:cs="仿宋_GB2312"/>
          <w:sz w:val="32"/>
          <w:szCs w:val="32"/>
        </w:rPr>
      </w:pPr>
      <w:hyperlink w:anchor="_Toc26564" w:history="1">
        <w:r w:rsidR="008853A8">
          <w:rPr>
            <w:rFonts w:ascii="仿宋_GB2312" w:eastAsia="仿宋_GB2312" w:hAnsi="仿宋_GB2312" w:cs="仿宋_GB2312" w:hint="eastAsia"/>
            <w:bCs/>
            <w:kern w:val="0"/>
            <w:sz w:val="32"/>
            <w:szCs w:val="32"/>
          </w:rPr>
          <w:t>四、财政拨款收入支出决算总体情况说明</w:t>
        </w:r>
      </w:hyperlink>
    </w:p>
    <w:p w:rsidR="008853A8" w:rsidRDefault="009042F1">
      <w:pPr>
        <w:pStyle w:val="2"/>
        <w:tabs>
          <w:tab w:val="right" w:pos="8306"/>
        </w:tabs>
        <w:ind w:leftChars="0" w:left="0"/>
        <w:rPr>
          <w:rFonts w:ascii="仿宋_GB2312" w:eastAsia="仿宋_GB2312" w:hAnsi="仿宋_GB2312" w:cs="仿宋_GB2312"/>
          <w:sz w:val="32"/>
          <w:szCs w:val="32"/>
        </w:rPr>
      </w:pPr>
      <w:hyperlink w:anchor="_Toc20360" w:history="1">
        <w:r w:rsidR="008853A8">
          <w:rPr>
            <w:rFonts w:ascii="仿宋_GB2312" w:eastAsia="仿宋_GB2312" w:hAnsi="仿宋_GB2312" w:cs="仿宋_GB2312" w:hint="eastAsia"/>
            <w:bCs/>
            <w:kern w:val="0"/>
            <w:sz w:val="32"/>
            <w:szCs w:val="32"/>
          </w:rPr>
          <w:t>五、一般公共预算财政拨款支出决算情况说明</w:t>
        </w:r>
      </w:hyperlink>
    </w:p>
    <w:p w:rsidR="008853A8" w:rsidRDefault="009042F1">
      <w:pPr>
        <w:pStyle w:val="2"/>
        <w:tabs>
          <w:tab w:val="right" w:pos="8306"/>
        </w:tabs>
        <w:ind w:leftChars="0" w:left="0"/>
        <w:rPr>
          <w:rFonts w:ascii="仿宋_GB2312" w:eastAsia="仿宋_GB2312" w:hAnsi="仿宋_GB2312" w:cs="仿宋_GB2312"/>
          <w:sz w:val="32"/>
          <w:szCs w:val="32"/>
        </w:rPr>
      </w:pPr>
      <w:hyperlink w:anchor="_Toc30870" w:history="1">
        <w:r w:rsidR="008853A8">
          <w:rPr>
            <w:rFonts w:ascii="仿宋_GB2312" w:eastAsia="仿宋_GB2312" w:hAnsi="仿宋_GB2312" w:cs="仿宋_GB2312" w:hint="eastAsia"/>
            <w:bCs/>
            <w:kern w:val="0"/>
            <w:sz w:val="32"/>
            <w:szCs w:val="32"/>
          </w:rPr>
          <w:t>六、一般公共预算财政拨款基本支出决算情况说明</w:t>
        </w:r>
      </w:hyperlink>
    </w:p>
    <w:p w:rsidR="008853A8" w:rsidRDefault="009042F1">
      <w:pPr>
        <w:pStyle w:val="2"/>
        <w:tabs>
          <w:tab w:val="right" w:pos="8306"/>
        </w:tabs>
        <w:ind w:leftChars="0" w:left="0"/>
        <w:rPr>
          <w:rFonts w:ascii="仿宋_GB2312" w:eastAsia="仿宋_GB2312" w:hAnsi="仿宋_GB2312" w:cs="仿宋_GB2312"/>
          <w:sz w:val="32"/>
          <w:szCs w:val="32"/>
        </w:rPr>
      </w:pPr>
      <w:hyperlink w:anchor="_Toc21518" w:history="1">
        <w:r w:rsidR="008853A8">
          <w:rPr>
            <w:rFonts w:ascii="仿宋_GB2312" w:eastAsia="仿宋_GB2312" w:hAnsi="仿宋_GB2312" w:cs="仿宋_GB2312" w:hint="eastAsia"/>
            <w:bCs/>
            <w:kern w:val="0"/>
            <w:sz w:val="32"/>
            <w:szCs w:val="32"/>
          </w:rPr>
          <w:t>七、一般公共预算财政拨款“三公”经费支出决算情况说明</w:t>
        </w:r>
      </w:hyperlink>
    </w:p>
    <w:p w:rsidR="008853A8" w:rsidRDefault="009042F1">
      <w:pPr>
        <w:pStyle w:val="2"/>
        <w:tabs>
          <w:tab w:val="right" w:pos="8306"/>
        </w:tabs>
        <w:ind w:leftChars="0" w:left="0"/>
        <w:rPr>
          <w:rFonts w:ascii="仿宋_GB2312" w:eastAsia="仿宋_GB2312" w:hAnsi="仿宋_GB2312" w:cs="仿宋_GB2312"/>
          <w:sz w:val="32"/>
          <w:szCs w:val="32"/>
        </w:rPr>
      </w:pPr>
      <w:hyperlink w:anchor="_Toc5810" w:history="1">
        <w:r w:rsidR="008853A8">
          <w:rPr>
            <w:rFonts w:ascii="仿宋_GB2312" w:eastAsia="仿宋_GB2312" w:hAnsi="仿宋_GB2312" w:cs="仿宋_GB2312" w:hint="eastAsia"/>
            <w:bCs/>
            <w:kern w:val="0"/>
            <w:sz w:val="32"/>
            <w:szCs w:val="32"/>
          </w:rPr>
          <w:t>八、政府性基金预算收入支出决算情况说明</w:t>
        </w:r>
      </w:hyperlink>
    </w:p>
    <w:p w:rsidR="008853A8" w:rsidRDefault="009042F1">
      <w:pPr>
        <w:pStyle w:val="2"/>
        <w:tabs>
          <w:tab w:val="right" w:pos="8306"/>
        </w:tabs>
        <w:ind w:leftChars="0" w:left="0"/>
        <w:rPr>
          <w:rFonts w:ascii="仿宋_GB2312" w:eastAsia="仿宋_GB2312" w:hAnsi="仿宋_GB2312" w:cs="仿宋_GB2312"/>
          <w:sz w:val="32"/>
          <w:szCs w:val="32"/>
        </w:rPr>
      </w:pPr>
      <w:hyperlink w:anchor="_Toc1235" w:history="1">
        <w:r w:rsidR="008853A8">
          <w:rPr>
            <w:rFonts w:ascii="仿宋_GB2312" w:eastAsia="仿宋_GB2312" w:hAnsi="仿宋_GB2312" w:cs="仿宋_GB2312" w:hint="eastAsia"/>
            <w:bCs/>
            <w:kern w:val="0"/>
            <w:sz w:val="32"/>
            <w:szCs w:val="32"/>
          </w:rPr>
          <w:t>九、其他重要事项的情况说明</w:t>
        </w:r>
      </w:hyperlink>
    </w:p>
    <w:p w:rsidR="008853A8" w:rsidRDefault="009042F1">
      <w:pPr>
        <w:pStyle w:val="3"/>
        <w:tabs>
          <w:tab w:val="right" w:pos="8306"/>
        </w:tabs>
        <w:ind w:leftChars="0" w:left="0"/>
        <w:rPr>
          <w:rFonts w:ascii="仿宋_GB2312" w:eastAsia="仿宋_GB2312" w:hAnsi="仿宋_GB2312" w:cs="仿宋_GB2312"/>
          <w:sz w:val="32"/>
          <w:szCs w:val="32"/>
        </w:rPr>
      </w:pPr>
      <w:hyperlink w:anchor="_Toc14519" w:history="1">
        <w:r w:rsidR="008853A8">
          <w:rPr>
            <w:rFonts w:ascii="仿宋_GB2312" w:eastAsia="仿宋_GB2312" w:hAnsi="仿宋_GB2312" w:cs="仿宋_GB2312" w:hint="eastAsia"/>
            <w:sz w:val="32"/>
            <w:szCs w:val="32"/>
          </w:rPr>
          <w:t>（一）机关运行经费支出情况</w:t>
        </w:r>
      </w:hyperlink>
    </w:p>
    <w:p w:rsidR="008853A8" w:rsidRDefault="009042F1">
      <w:pPr>
        <w:pStyle w:val="3"/>
        <w:tabs>
          <w:tab w:val="right" w:pos="8306"/>
        </w:tabs>
        <w:ind w:leftChars="0" w:left="0"/>
        <w:rPr>
          <w:rFonts w:ascii="仿宋_GB2312" w:eastAsia="仿宋_GB2312" w:hAnsi="仿宋_GB2312" w:cs="仿宋_GB2312"/>
          <w:sz w:val="32"/>
          <w:szCs w:val="32"/>
        </w:rPr>
      </w:pPr>
      <w:hyperlink w:anchor="_Toc227" w:history="1">
        <w:r w:rsidR="008853A8">
          <w:rPr>
            <w:rFonts w:ascii="仿宋_GB2312" w:eastAsia="仿宋_GB2312" w:hAnsi="仿宋_GB2312" w:cs="仿宋_GB2312" w:hint="eastAsia"/>
            <w:sz w:val="32"/>
            <w:szCs w:val="32"/>
          </w:rPr>
          <w:t>（二）政府采购情况</w:t>
        </w:r>
      </w:hyperlink>
    </w:p>
    <w:p w:rsidR="008853A8" w:rsidRDefault="009042F1">
      <w:pPr>
        <w:pStyle w:val="3"/>
        <w:tabs>
          <w:tab w:val="right" w:pos="8306"/>
        </w:tabs>
        <w:ind w:leftChars="0" w:left="0"/>
        <w:rPr>
          <w:rFonts w:ascii="仿宋_GB2312" w:eastAsia="仿宋_GB2312" w:hAnsi="仿宋_GB2312" w:cs="仿宋_GB2312"/>
          <w:sz w:val="32"/>
          <w:szCs w:val="32"/>
        </w:rPr>
      </w:pPr>
      <w:hyperlink w:anchor="_Toc8391" w:history="1">
        <w:r w:rsidR="008853A8">
          <w:rPr>
            <w:rFonts w:ascii="仿宋_GB2312" w:eastAsia="仿宋_GB2312" w:hAnsi="仿宋_GB2312" w:cs="仿宋_GB2312" w:hint="eastAsia"/>
            <w:sz w:val="32"/>
            <w:szCs w:val="32"/>
          </w:rPr>
          <w:t>（三）国有资产占用情况说明</w:t>
        </w:r>
      </w:hyperlink>
    </w:p>
    <w:p w:rsidR="008853A8" w:rsidRDefault="009042F1">
      <w:pPr>
        <w:pStyle w:val="2"/>
        <w:tabs>
          <w:tab w:val="right" w:pos="8306"/>
        </w:tabs>
        <w:ind w:leftChars="0" w:left="0"/>
        <w:rPr>
          <w:rFonts w:ascii="仿宋_GB2312" w:eastAsia="仿宋_GB2312" w:hAnsi="仿宋_GB2312" w:cs="仿宋_GB2312"/>
          <w:sz w:val="32"/>
          <w:szCs w:val="32"/>
        </w:rPr>
      </w:pPr>
      <w:hyperlink w:anchor="_Toc11283" w:history="1">
        <w:r w:rsidR="008853A8">
          <w:rPr>
            <w:rFonts w:ascii="仿宋_GB2312" w:eastAsia="仿宋_GB2312" w:hAnsi="仿宋_GB2312" w:cs="仿宋_GB2312" w:hint="eastAsia"/>
            <w:bCs/>
            <w:kern w:val="0"/>
            <w:sz w:val="32"/>
            <w:szCs w:val="32"/>
          </w:rPr>
          <w:t>十、预算绩效的情况说明</w:t>
        </w:r>
      </w:hyperlink>
    </w:p>
    <w:p w:rsidR="008853A8" w:rsidRDefault="009042F1">
      <w:pPr>
        <w:pStyle w:val="1"/>
        <w:tabs>
          <w:tab w:val="right" w:pos="8306"/>
        </w:tabs>
        <w:rPr>
          <w:rFonts w:ascii="仿宋_GB2312" w:eastAsia="仿宋_GB2312" w:hAnsi="仿宋_GB2312" w:cs="仿宋_GB2312"/>
          <w:b/>
          <w:bCs/>
          <w:sz w:val="32"/>
          <w:szCs w:val="32"/>
        </w:rPr>
      </w:pPr>
      <w:hyperlink w:anchor="_Toc3250" w:history="1">
        <w:r w:rsidR="008853A8">
          <w:rPr>
            <w:rFonts w:ascii="仿宋_GB2312" w:eastAsia="仿宋_GB2312" w:hAnsi="仿宋_GB2312" w:cs="仿宋_GB2312" w:hint="eastAsia"/>
            <w:b/>
            <w:bCs/>
            <w:sz w:val="32"/>
            <w:szCs w:val="32"/>
          </w:rPr>
          <w:t>第三部分 专业名词解释</w:t>
        </w:r>
      </w:hyperlink>
    </w:p>
    <w:p w:rsidR="008853A8" w:rsidRDefault="009042F1">
      <w:pPr>
        <w:pStyle w:val="1"/>
        <w:tabs>
          <w:tab w:val="right" w:pos="8306"/>
        </w:tabs>
        <w:rPr>
          <w:rFonts w:ascii="仿宋_GB2312" w:eastAsia="仿宋_GB2312" w:hAnsi="仿宋_GB2312" w:cs="仿宋_GB2312"/>
          <w:b/>
          <w:bCs/>
          <w:sz w:val="32"/>
          <w:szCs w:val="32"/>
        </w:rPr>
      </w:pPr>
      <w:hyperlink w:anchor="_Toc22784" w:history="1">
        <w:r w:rsidR="008853A8">
          <w:rPr>
            <w:rFonts w:ascii="仿宋_GB2312" w:eastAsia="仿宋_GB2312" w:hAnsi="仿宋_GB2312" w:cs="仿宋_GB2312" w:hint="eastAsia"/>
            <w:b/>
            <w:bCs/>
            <w:sz w:val="32"/>
            <w:szCs w:val="32"/>
          </w:rPr>
          <w:t>第四部分 部门决算报表（见附表）</w:t>
        </w:r>
      </w:hyperlink>
    </w:p>
    <w:p w:rsidR="008853A8" w:rsidRDefault="009042F1">
      <w:pPr>
        <w:pStyle w:val="2"/>
        <w:tabs>
          <w:tab w:val="right" w:pos="8306"/>
        </w:tabs>
        <w:ind w:leftChars="0" w:left="0"/>
        <w:rPr>
          <w:rFonts w:ascii="仿宋_GB2312" w:eastAsia="仿宋_GB2312" w:hAnsi="仿宋_GB2312" w:cs="仿宋_GB2312"/>
          <w:sz w:val="32"/>
          <w:szCs w:val="32"/>
        </w:rPr>
      </w:pPr>
      <w:hyperlink w:anchor="_Toc2183" w:history="1">
        <w:r w:rsidR="008853A8">
          <w:rPr>
            <w:rFonts w:ascii="仿宋_GB2312" w:eastAsia="仿宋_GB2312" w:hAnsi="仿宋_GB2312" w:cs="仿宋_GB2312" w:hint="eastAsia"/>
            <w:bCs/>
            <w:kern w:val="0"/>
            <w:sz w:val="32"/>
            <w:szCs w:val="32"/>
          </w:rPr>
          <w:t>一、《收入支出决算总表》</w:t>
        </w:r>
      </w:hyperlink>
    </w:p>
    <w:p w:rsidR="008853A8" w:rsidRDefault="009042F1">
      <w:pPr>
        <w:pStyle w:val="2"/>
        <w:tabs>
          <w:tab w:val="right" w:pos="8306"/>
        </w:tabs>
        <w:ind w:leftChars="0" w:left="0"/>
        <w:rPr>
          <w:rFonts w:ascii="仿宋_GB2312" w:eastAsia="仿宋_GB2312" w:hAnsi="仿宋_GB2312" w:cs="仿宋_GB2312"/>
          <w:sz w:val="32"/>
          <w:szCs w:val="32"/>
        </w:rPr>
      </w:pPr>
      <w:hyperlink w:anchor="_Toc24532" w:history="1">
        <w:r w:rsidR="008853A8">
          <w:rPr>
            <w:rFonts w:ascii="仿宋_GB2312" w:eastAsia="仿宋_GB2312" w:hAnsi="仿宋_GB2312" w:cs="仿宋_GB2312" w:hint="eastAsia"/>
            <w:bCs/>
            <w:kern w:val="0"/>
            <w:sz w:val="32"/>
            <w:szCs w:val="32"/>
          </w:rPr>
          <w:t>二、《收入决算表》</w:t>
        </w:r>
      </w:hyperlink>
    </w:p>
    <w:p w:rsidR="008853A8" w:rsidRDefault="009042F1">
      <w:pPr>
        <w:pStyle w:val="2"/>
        <w:tabs>
          <w:tab w:val="right" w:pos="8306"/>
        </w:tabs>
        <w:ind w:leftChars="0" w:left="0"/>
        <w:rPr>
          <w:rFonts w:ascii="仿宋_GB2312" w:eastAsia="仿宋_GB2312" w:hAnsi="仿宋_GB2312" w:cs="仿宋_GB2312"/>
          <w:sz w:val="32"/>
          <w:szCs w:val="32"/>
        </w:rPr>
      </w:pPr>
      <w:hyperlink w:anchor="_Toc32434" w:history="1">
        <w:r w:rsidR="008853A8">
          <w:rPr>
            <w:rFonts w:ascii="仿宋_GB2312" w:eastAsia="仿宋_GB2312" w:hAnsi="仿宋_GB2312" w:cs="仿宋_GB2312" w:hint="eastAsia"/>
            <w:bCs/>
            <w:kern w:val="0"/>
            <w:sz w:val="32"/>
            <w:szCs w:val="32"/>
          </w:rPr>
          <w:t>三、《支出决算表》</w:t>
        </w:r>
      </w:hyperlink>
    </w:p>
    <w:p w:rsidR="008853A8" w:rsidRDefault="009042F1">
      <w:pPr>
        <w:pStyle w:val="2"/>
        <w:tabs>
          <w:tab w:val="right" w:pos="8306"/>
        </w:tabs>
        <w:ind w:leftChars="0" w:left="0"/>
        <w:rPr>
          <w:rFonts w:ascii="仿宋_GB2312" w:eastAsia="仿宋_GB2312" w:hAnsi="仿宋_GB2312" w:cs="仿宋_GB2312"/>
          <w:sz w:val="32"/>
          <w:szCs w:val="32"/>
        </w:rPr>
      </w:pPr>
      <w:hyperlink w:anchor="_Toc28786" w:history="1">
        <w:r w:rsidR="008853A8">
          <w:rPr>
            <w:rFonts w:ascii="仿宋_GB2312" w:eastAsia="仿宋_GB2312" w:hAnsi="仿宋_GB2312" w:cs="仿宋_GB2312" w:hint="eastAsia"/>
            <w:bCs/>
            <w:kern w:val="0"/>
            <w:sz w:val="32"/>
            <w:szCs w:val="32"/>
          </w:rPr>
          <w:t>四、《财政拨款收入支出决算总表》</w:t>
        </w:r>
      </w:hyperlink>
    </w:p>
    <w:p w:rsidR="008853A8" w:rsidRDefault="009042F1">
      <w:pPr>
        <w:pStyle w:val="2"/>
        <w:tabs>
          <w:tab w:val="right" w:pos="8306"/>
        </w:tabs>
        <w:ind w:leftChars="0" w:left="0"/>
        <w:rPr>
          <w:rFonts w:ascii="仿宋_GB2312" w:eastAsia="仿宋_GB2312" w:hAnsi="仿宋_GB2312" w:cs="仿宋_GB2312"/>
          <w:sz w:val="32"/>
          <w:szCs w:val="32"/>
        </w:rPr>
      </w:pPr>
      <w:hyperlink w:anchor="_Toc14869" w:history="1">
        <w:r w:rsidR="008853A8">
          <w:rPr>
            <w:rFonts w:ascii="仿宋_GB2312" w:eastAsia="仿宋_GB2312" w:hAnsi="仿宋_GB2312" w:cs="仿宋_GB2312" w:hint="eastAsia"/>
            <w:bCs/>
            <w:kern w:val="0"/>
            <w:sz w:val="32"/>
            <w:szCs w:val="32"/>
          </w:rPr>
          <w:t>五、《一般公共预算财政拨款支出决算表》</w:t>
        </w:r>
      </w:hyperlink>
    </w:p>
    <w:p w:rsidR="008853A8" w:rsidRDefault="009042F1">
      <w:pPr>
        <w:pStyle w:val="2"/>
        <w:tabs>
          <w:tab w:val="right" w:pos="8306"/>
        </w:tabs>
        <w:ind w:leftChars="0" w:left="0"/>
        <w:rPr>
          <w:rFonts w:ascii="仿宋_GB2312" w:eastAsia="仿宋_GB2312" w:hAnsi="仿宋_GB2312" w:cs="仿宋_GB2312"/>
          <w:sz w:val="32"/>
          <w:szCs w:val="32"/>
        </w:rPr>
      </w:pPr>
      <w:hyperlink w:anchor="_Toc8884" w:history="1">
        <w:r w:rsidR="008853A8">
          <w:rPr>
            <w:rFonts w:ascii="仿宋_GB2312" w:eastAsia="仿宋_GB2312" w:hAnsi="仿宋_GB2312" w:cs="仿宋_GB2312" w:hint="eastAsia"/>
            <w:bCs/>
            <w:kern w:val="0"/>
            <w:sz w:val="32"/>
            <w:szCs w:val="32"/>
          </w:rPr>
          <w:t>六、《一般公共预算财政拨款基本支出决算表》</w:t>
        </w:r>
      </w:hyperlink>
    </w:p>
    <w:p w:rsidR="008853A8" w:rsidRDefault="009042F1">
      <w:pPr>
        <w:pStyle w:val="2"/>
        <w:tabs>
          <w:tab w:val="right" w:pos="8306"/>
        </w:tabs>
        <w:ind w:leftChars="0" w:left="0"/>
        <w:rPr>
          <w:rFonts w:ascii="仿宋_GB2312" w:eastAsia="仿宋_GB2312" w:hAnsi="仿宋_GB2312" w:cs="仿宋_GB2312"/>
          <w:sz w:val="32"/>
          <w:szCs w:val="32"/>
        </w:rPr>
      </w:pPr>
      <w:hyperlink w:anchor="_Toc29106" w:history="1">
        <w:r w:rsidR="008853A8">
          <w:rPr>
            <w:rFonts w:ascii="仿宋_GB2312" w:eastAsia="仿宋_GB2312" w:hAnsi="仿宋_GB2312" w:cs="仿宋_GB2312" w:hint="eastAsia"/>
            <w:bCs/>
            <w:kern w:val="0"/>
            <w:sz w:val="32"/>
            <w:szCs w:val="32"/>
          </w:rPr>
          <w:t>七、《一般公共预算财政拨款“三公”经费支出决算表》</w:t>
        </w:r>
      </w:hyperlink>
    </w:p>
    <w:p w:rsidR="008853A8" w:rsidRDefault="009042F1">
      <w:pPr>
        <w:pStyle w:val="2"/>
        <w:tabs>
          <w:tab w:val="right" w:pos="8306"/>
        </w:tabs>
        <w:ind w:leftChars="0" w:left="0"/>
        <w:rPr>
          <w:rFonts w:ascii="仿宋_GB2312" w:eastAsia="仿宋_GB2312" w:hAnsi="仿宋_GB2312" w:cs="仿宋_GB2312"/>
          <w:sz w:val="32"/>
          <w:szCs w:val="32"/>
        </w:rPr>
      </w:pPr>
      <w:hyperlink w:anchor="_Toc7643" w:history="1">
        <w:r w:rsidR="008853A8">
          <w:rPr>
            <w:rFonts w:ascii="仿宋_GB2312" w:eastAsia="仿宋_GB2312" w:hAnsi="仿宋_GB2312" w:cs="仿宋_GB2312" w:hint="eastAsia"/>
            <w:bCs/>
            <w:kern w:val="0"/>
            <w:sz w:val="32"/>
            <w:szCs w:val="32"/>
          </w:rPr>
          <w:t>八、《政府性基金预算财政拨款收入支出决算表》</w:t>
        </w:r>
      </w:hyperlink>
    </w:p>
    <w:p w:rsidR="008853A8" w:rsidRDefault="009042F1">
      <w:r>
        <w:rPr>
          <w:rFonts w:ascii="仿宋_GB2312" w:eastAsia="仿宋_GB2312" w:hAnsi="仿宋_GB2312" w:cs="仿宋_GB2312" w:hint="eastAsia"/>
          <w:sz w:val="32"/>
          <w:szCs w:val="32"/>
        </w:rPr>
        <w:fldChar w:fldCharType="end"/>
      </w:r>
    </w:p>
    <w:p w:rsidR="008853A8" w:rsidRDefault="008853A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24028"/>
      <w:bookmarkStart w:id="1" w:name="_Toc32314"/>
      <w:r>
        <w:rPr>
          <w:rFonts w:ascii="黑体" w:eastAsia="黑体" w:hAnsi="黑体" w:hint="eastAsia"/>
          <w:sz w:val="32"/>
          <w:szCs w:val="32"/>
        </w:rPr>
        <w:t>第一部分 部门单位概况</w:t>
      </w:r>
      <w:bookmarkEnd w:id="0"/>
      <w:bookmarkEnd w:id="1"/>
    </w:p>
    <w:p w:rsidR="008853A8" w:rsidRDefault="008853A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0126B0" w:rsidRDefault="00587614">
      <w:pPr>
        <w:ind w:firstLine="480"/>
      </w:pPr>
      <w:r>
        <w:rPr>
          <w:rFonts w:ascii="仿宋_GB2312" w:eastAsia="仿宋_GB2312" w:hAnsi="仿宋_GB2312" w:cs="仿宋_GB2312"/>
          <w:sz w:val="32"/>
        </w:rPr>
        <w:t>（一）贯彻执行国家有关审计工作的方针政策；制定审计规章制度并监督执行情况。</w:t>
      </w:r>
    </w:p>
    <w:p w:rsidR="000126B0" w:rsidRDefault="00587614">
      <w:pPr>
        <w:ind w:firstLine="480"/>
      </w:pPr>
      <w:r>
        <w:rPr>
          <w:rFonts w:ascii="仿宋_GB2312" w:eastAsia="仿宋_GB2312" w:hAnsi="仿宋_GB2312" w:cs="仿宋_GB2312"/>
          <w:sz w:val="32"/>
        </w:rPr>
        <w:t>（二）向县委、县人民政府、上级审计机关报告和向县有关部门通报审计情况，提出制定和完善区域经济调控措施的建议。</w:t>
      </w:r>
    </w:p>
    <w:p w:rsidR="000126B0" w:rsidRDefault="00587614">
      <w:pPr>
        <w:ind w:firstLine="480"/>
      </w:pPr>
      <w:r>
        <w:rPr>
          <w:rFonts w:ascii="仿宋_GB2312" w:eastAsia="仿宋_GB2312" w:hAnsi="仿宋_GB2312" w:cs="仿宋_GB2312"/>
          <w:sz w:val="32"/>
        </w:rPr>
        <w:t>（三）依据《中华人民共和国审计法》的规定，直接进行下列审计：</w:t>
      </w:r>
    </w:p>
    <w:p w:rsidR="000126B0" w:rsidRDefault="00587614">
      <w:pPr>
        <w:ind w:firstLine="480"/>
      </w:pPr>
      <w:r>
        <w:rPr>
          <w:rFonts w:ascii="仿宋_GB2312" w:eastAsia="仿宋_GB2312" w:hAnsi="仿宋_GB2312" w:cs="仿宋_GB2312"/>
          <w:sz w:val="32"/>
        </w:rPr>
        <w:t>1、对麦盖提县本级财政预算执行情况和其他财政收支情况进行审计。</w:t>
      </w:r>
    </w:p>
    <w:p w:rsidR="000126B0" w:rsidRDefault="00587614">
      <w:pPr>
        <w:ind w:firstLine="480"/>
      </w:pPr>
      <w:r>
        <w:rPr>
          <w:rFonts w:ascii="仿宋_GB2312" w:eastAsia="仿宋_GB2312" w:hAnsi="仿宋_GB2312" w:cs="仿宋_GB2312"/>
          <w:sz w:val="32"/>
        </w:rPr>
        <w:t>2、对麦盖提县各部门、直属事业单位及所属单位的财务收支进行审计。</w:t>
      </w:r>
    </w:p>
    <w:p w:rsidR="000126B0" w:rsidRDefault="00587614">
      <w:pPr>
        <w:ind w:firstLine="480"/>
      </w:pPr>
      <w:r>
        <w:rPr>
          <w:rFonts w:ascii="仿宋_GB2312" w:eastAsia="仿宋_GB2312" w:hAnsi="仿宋_GB2312" w:cs="仿宋_GB2312"/>
          <w:sz w:val="32"/>
        </w:rPr>
        <w:t>3、对县有关部门管理的和受县人民政府委托由社会团体管理的社会保障基金、土地、矿产资源、节能减排、生态环境保护资金、社会捐赠资金及其他有关基金、资金的财务收支进行审计。</w:t>
      </w:r>
    </w:p>
    <w:p w:rsidR="000126B0" w:rsidRDefault="00587614">
      <w:pPr>
        <w:ind w:firstLine="480"/>
      </w:pPr>
      <w:r>
        <w:rPr>
          <w:rFonts w:ascii="仿宋_GB2312" w:eastAsia="仿宋_GB2312" w:hAnsi="仿宋_GB2312" w:cs="仿宋_GB2312"/>
          <w:sz w:val="32"/>
        </w:rPr>
        <w:t>4、负责对国有企业的资产、负债和损益状况进行审计。</w:t>
      </w:r>
    </w:p>
    <w:p w:rsidR="000126B0" w:rsidRDefault="00587614">
      <w:pPr>
        <w:ind w:firstLine="480"/>
      </w:pPr>
      <w:r>
        <w:rPr>
          <w:rFonts w:ascii="仿宋_GB2312" w:eastAsia="仿宋_GB2312" w:hAnsi="仿宋_GB2312" w:cs="仿宋_GB2312"/>
          <w:sz w:val="32"/>
        </w:rPr>
        <w:t>5、经上级审计机关授权对地方金融机构的资产、负债和损益状况进行审计。</w:t>
      </w:r>
    </w:p>
    <w:p w:rsidR="000126B0" w:rsidRDefault="00587614">
      <w:pPr>
        <w:ind w:firstLine="480"/>
      </w:pPr>
      <w:r>
        <w:rPr>
          <w:rFonts w:ascii="仿宋_GB2312" w:eastAsia="仿宋_GB2312" w:hAnsi="仿宋_GB2312" w:cs="仿宋_GB2312"/>
          <w:sz w:val="32"/>
        </w:rPr>
        <w:t>6、接受上级审计机关授权对国际金融机构、保险机构的资金、负债、损益情况以及对国际组织和外国政府援助、贷款项目的财务收支情况的审计。</w:t>
      </w:r>
    </w:p>
    <w:p w:rsidR="000126B0" w:rsidRDefault="00587614">
      <w:pPr>
        <w:ind w:firstLine="480"/>
      </w:pPr>
      <w:r>
        <w:rPr>
          <w:rFonts w:ascii="仿宋_GB2312" w:eastAsia="仿宋_GB2312" w:hAnsi="仿宋_GB2312" w:cs="仿宋_GB2312"/>
          <w:sz w:val="32"/>
        </w:rPr>
        <w:t>7、审计机关对政府投资和以政府投资为主的建设项目的预算执行情况和竣工决算进行审计。对重大建设项目程序、工程管理、工程质量全过程进行跟踪审计和绩效审计。</w:t>
      </w:r>
    </w:p>
    <w:p w:rsidR="000126B0" w:rsidRDefault="00587614">
      <w:pPr>
        <w:ind w:firstLine="480"/>
      </w:pPr>
      <w:r>
        <w:rPr>
          <w:rFonts w:ascii="仿宋_GB2312" w:eastAsia="仿宋_GB2312" w:hAnsi="仿宋_GB2312" w:cs="仿宋_GB2312"/>
          <w:sz w:val="32"/>
        </w:rPr>
        <w:t>8、社会审计机构审计的单位依法属于审计机关审计监督对象的，审计机关按照国务院的规定，有权对该社会审计机构出具的相关审计报告进行核查。</w:t>
      </w:r>
    </w:p>
    <w:p w:rsidR="000126B0" w:rsidRDefault="00587614">
      <w:pPr>
        <w:ind w:firstLine="480"/>
      </w:pPr>
      <w:r>
        <w:rPr>
          <w:rFonts w:ascii="仿宋_GB2312" w:eastAsia="仿宋_GB2312" w:hAnsi="仿宋_GB2312" w:cs="仿宋_GB2312"/>
          <w:sz w:val="32"/>
        </w:rPr>
        <w:t>9、其他法律法规规定应由县审计局进行的审计。</w:t>
      </w:r>
    </w:p>
    <w:p w:rsidR="008853A8" w:rsidRDefault="008853A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1F777A" w:rsidRPr="001F777A" w:rsidRDefault="001F777A" w:rsidP="001F777A">
      <w:pPr>
        <w:ind w:firstLineChars="200" w:firstLine="640"/>
      </w:pPr>
      <w:r>
        <w:rPr>
          <w:rFonts w:ascii="仿宋_GB2312" w:eastAsia="仿宋_GB2312" w:hAnsi="仿宋_GB2312" w:cs="仿宋_GB2312"/>
          <w:sz w:val="32"/>
        </w:rPr>
        <w:t>新疆喀什地区麦盖提县审计局2019年度，实有人数23人，其中：在职人员19人，离休人员0人，退休人员4人。</w:t>
      </w:r>
    </w:p>
    <w:p w:rsidR="00862395" w:rsidRDefault="00862395" w:rsidP="00862395">
      <w:pPr>
        <w:ind w:firstLineChars="200" w:firstLine="640"/>
        <w:rPr>
          <w:rFonts w:ascii="仿宋_GB2312" w:eastAsia="仿宋_GB2312"/>
          <w:sz w:val="32"/>
          <w:szCs w:val="32"/>
        </w:rPr>
      </w:pPr>
      <w:r>
        <w:rPr>
          <w:rFonts w:ascii="仿宋_GB2312" w:eastAsia="仿宋_GB2312" w:hAnsi="仿宋_GB2312" w:cs="仿宋_GB2312"/>
          <w:sz w:val="32"/>
        </w:rPr>
        <w:t>从部门决算单位构成看，新疆喀什地区麦盖提县审计局部门决算包括：新疆喀什地区麦盖提县审计局决算。</w:t>
      </w:r>
    </w:p>
    <w:p w:rsidR="008853A8" w:rsidRDefault="008853A8">
      <w:pPr>
        <w:ind w:firstLineChars="200" w:firstLine="640"/>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t>第二部分 部门决算情况说明</w:t>
      </w:r>
      <w:bookmarkEnd w:id="6"/>
      <w:bookmarkEnd w:id="7"/>
    </w:p>
    <w:p w:rsidR="008853A8" w:rsidRDefault="008853A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8853A8" w:rsidRDefault="007E3BFD">
      <w:pPr>
        <w:ind w:firstLineChars="200" w:firstLine="640"/>
        <w:rPr>
          <w:rFonts w:ascii="仿宋_GB2312" w:eastAsia="仿宋_GB2312"/>
          <w:sz w:val="32"/>
          <w:szCs w:val="32"/>
        </w:rPr>
      </w:pPr>
      <w:r>
        <w:rPr>
          <w:rFonts w:ascii="仿宋_GB2312" w:eastAsia="仿宋_GB2312" w:hAnsi="仿宋_GB2312" w:cs="仿宋_GB2312"/>
          <w:sz w:val="32"/>
        </w:rPr>
        <w:t>2019年度本年收入300.54万元，与上年相比，增加49.26万元，增长19.6%，主要原因是：援疆资金及地区审计局拨付的资金增加，去年无此项资金。本年支出287.62万元，与上年相比，增加22.34万元，增长8.42%，主要原因是：援疆资金及地区审计局拨付的资金增加，去年无此项资金。</w:t>
      </w:r>
    </w:p>
    <w:p w:rsidR="008853A8" w:rsidRDefault="008853A8">
      <w:pPr>
        <w:ind w:firstLineChars="200" w:firstLine="640"/>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rsidR="008853A8" w:rsidRDefault="00125A6F">
      <w:pPr>
        <w:ind w:firstLineChars="200" w:firstLine="640"/>
        <w:rPr>
          <w:rFonts w:ascii="仿宋_GB2312" w:eastAsia="仿宋_GB2312"/>
          <w:sz w:val="32"/>
          <w:szCs w:val="32"/>
        </w:rPr>
      </w:pPr>
      <w:r>
        <w:rPr>
          <w:rFonts w:ascii="仿宋_GB2312" w:eastAsia="仿宋_GB2312" w:hAnsi="仿宋_GB2312" w:cs="仿宋_GB2312"/>
          <w:sz w:val="32"/>
        </w:rPr>
        <w:t>2019年度本年收入300.54万元，其中：财政拨款收入262.14万元，占87.22%；上级补助收入0万元，占0%；事业收入0万元，占0%；经营收入0万元，占0%；附属单位上缴收入0万元，占0%；其他收入38.40万元，占12.78%。</w:t>
      </w:r>
    </w:p>
    <w:p w:rsidR="008853A8" w:rsidRDefault="008853A8">
      <w:pPr>
        <w:ind w:firstLineChars="200" w:firstLine="640"/>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8853A8" w:rsidRDefault="00233021">
      <w:pPr>
        <w:ind w:firstLineChars="200" w:firstLine="640"/>
        <w:rPr>
          <w:rFonts w:ascii="仿宋_GB2312" w:eastAsia="仿宋_GB2312"/>
          <w:sz w:val="32"/>
          <w:szCs w:val="32"/>
        </w:rPr>
      </w:pPr>
      <w:r>
        <w:rPr>
          <w:rFonts w:ascii="仿宋_GB2312" w:eastAsia="仿宋_GB2312" w:hAnsi="仿宋_GB2312" w:cs="仿宋_GB2312"/>
          <w:sz w:val="32"/>
        </w:rPr>
        <w:t>2019年度本年支出287.62万元，其中：基本支出262.14万元，占91.14%；项目支出25.47万元，占8.86%；上缴上级支出0万元，占0%；经营支出0万元，占0%；对附属单位补助支出0万元，占0%。</w:t>
      </w:r>
    </w:p>
    <w:p w:rsidR="008853A8" w:rsidRDefault="008853A8">
      <w:pPr>
        <w:ind w:firstLineChars="200" w:firstLine="640"/>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rsidR="008853A8" w:rsidRPr="001848EE" w:rsidRDefault="001C2D35">
      <w:pPr>
        <w:ind w:firstLineChars="200" w:firstLine="640"/>
        <w:rPr>
          <w:rFonts w:ascii="仿宋_GB2312" w:eastAsia="仿宋_GB2312"/>
          <w:sz w:val="32"/>
          <w:szCs w:val="32"/>
        </w:rPr>
      </w:pPr>
      <w:r>
        <w:rPr>
          <w:rFonts w:ascii="仿宋_GB2312" w:eastAsia="仿宋_GB2312" w:hAnsi="仿宋_GB2312" w:cs="仿宋_GB2312"/>
          <w:sz w:val="32"/>
        </w:rPr>
        <w:t>2019年度财政拨款收入262.14万元，与上年相比，增加10.86万元，增长4.32%，主要原因是：人员晋升，调资增资，发放绩效工资，财政拨款较去年增加。财政拨款支出262.14万元，与上年相比，减少3.14万元，下降1.18%，主要原因是：在职人员减少2人</w:t>
      </w:r>
      <w:r w:rsidR="00340943">
        <w:rPr>
          <w:rFonts w:ascii="仿宋_GB2312" w:eastAsia="仿宋_GB2312" w:hAnsi="仿宋_GB2312" w:cs="仿宋_GB2312" w:hint="eastAsia"/>
          <w:sz w:val="32"/>
        </w:rPr>
        <w:t>,2018年支出含2017年结转资金14万，2019年无结转资金</w:t>
      </w:r>
      <w:r>
        <w:rPr>
          <w:rFonts w:ascii="仿宋_GB2312" w:eastAsia="仿宋_GB2312" w:hAnsi="仿宋_GB2312" w:cs="仿宋_GB2312"/>
          <w:sz w:val="32"/>
        </w:rPr>
        <w:t>。</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与年初预算数相比情况：财政拨款收入年初预算数278.57万元，决算数262.14万元，预决算差异率-5.9%，主要原因是：在职人员减少2人。财政拨款支出年初预算数278.57万元，决算数262.14万元，预决算差异率-5.9%，主要原因是：在职人员减少2人。</w:t>
      </w:r>
    </w:p>
    <w:p w:rsidR="008853A8" w:rsidRDefault="008853A8">
      <w:pPr>
        <w:ind w:firstLineChars="200" w:firstLine="640"/>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8853A8" w:rsidRDefault="005529D0">
      <w:pPr>
        <w:ind w:firstLineChars="200" w:firstLine="640"/>
        <w:rPr>
          <w:rFonts w:ascii="仿宋_GB2312" w:eastAsia="仿宋_GB2312"/>
          <w:sz w:val="32"/>
          <w:szCs w:val="32"/>
        </w:rPr>
      </w:pPr>
      <w:r>
        <w:rPr>
          <w:rFonts w:ascii="仿宋_GB2312" w:eastAsia="仿宋_GB2312" w:hAnsi="仿宋_GB2312" w:cs="仿宋_GB2312"/>
          <w:sz w:val="32"/>
        </w:rPr>
        <w:t>2019年度一般公共预算财政拨款支出262.14万元。按功能分类科目项级科目公开，其中：</w:t>
      </w:r>
    </w:p>
    <w:p w:rsidR="000126B0" w:rsidRDefault="00587614">
      <w:pPr>
        <w:ind w:firstLine="480"/>
      </w:pPr>
      <w:r>
        <w:rPr>
          <w:rFonts w:ascii="仿宋_GB2312" w:eastAsia="仿宋_GB2312" w:hAnsi="仿宋_GB2312" w:cs="仿宋_GB2312"/>
          <w:sz w:val="32"/>
        </w:rPr>
        <w:t xml:space="preserve">   2010801行政运行支出216.62万元；</w:t>
      </w:r>
    </w:p>
    <w:p w:rsidR="000126B0" w:rsidRDefault="00587614">
      <w:pPr>
        <w:ind w:firstLine="480"/>
      </w:pPr>
      <w:r>
        <w:rPr>
          <w:rFonts w:ascii="仿宋_GB2312" w:eastAsia="仿宋_GB2312" w:hAnsi="仿宋_GB2312" w:cs="仿宋_GB2312"/>
          <w:sz w:val="32"/>
        </w:rPr>
        <w:t xml:space="preserve">   2080505机关事业单位基本养老保险缴费支出25.84万元；</w:t>
      </w:r>
    </w:p>
    <w:p w:rsidR="000126B0" w:rsidRDefault="00587614">
      <w:pPr>
        <w:ind w:firstLine="480"/>
      </w:pPr>
      <w:r>
        <w:rPr>
          <w:rFonts w:ascii="仿宋_GB2312" w:eastAsia="仿宋_GB2312" w:hAnsi="仿宋_GB2312" w:cs="仿宋_GB2312"/>
          <w:sz w:val="32"/>
        </w:rPr>
        <w:t xml:space="preserve">   2210201住房公积金支出19.68万元。</w:t>
      </w:r>
    </w:p>
    <w:p w:rsidR="008853A8" w:rsidRDefault="008853A8">
      <w:pPr>
        <w:ind w:firstLineChars="200" w:firstLine="640"/>
        <w:outlineLvl w:val="1"/>
        <w:rPr>
          <w:rFonts w:ascii="黑体" w:eastAsia="黑体" w:hAnsi="黑体" w:cs="宋体"/>
          <w:bCs/>
          <w:kern w:val="0"/>
          <w:sz w:val="32"/>
          <w:szCs w:val="32"/>
        </w:rPr>
      </w:pPr>
      <w:bookmarkStart w:id="18" w:name="_Toc11146"/>
      <w:bookmarkStart w:id="19" w:name="_Toc30870"/>
      <w:r>
        <w:rPr>
          <w:rFonts w:ascii="黑体" w:eastAsia="黑体" w:hAnsi="黑体" w:cs="宋体" w:hint="eastAsia"/>
          <w:bCs/>
          <w:kern w:val="0"/>
          <w:sz w:val="32"/>
          <w:szCs w:val="32"/>
        </w:rPr>
        <w:t>六、一般公共预算财政拨款基本支出决算情况说明</w:t>
      </w:r>
      <w:bookmarkEnd w:id="18"/>
      <w:bookmarkEnd w:id="19"/>
    </w:p>
    <w:p w:rsidR="008853A8" w:rsidRDefault="005B1DE6">
      <w:pPr>
        <w:ind w:firstLineChars="200" w:firstLine="640"/>
        <w:rPr>
          <w:rFonts w:ascii="仿宋_GB2312" w:eastAsia="仿宋_GB2312"/>
          <w:sz w:val="32"/>
          <w:szCs w:val="32"/>
        </w:rPr>
      </w:pPr>
      <w:r>
        <w:rPr>
          <w:rFonts w:ascii="仿宋_GB2312" w:eastAsia="仿宋_GB2312" w:hAnsi="仿宋_GB2312" w:cs="仿宋_GB2312"/>
          <w:sz w:val="32"/>
        </w:rPr>
        <w:t>2019年度一般公共预算财政拨款基本支出262.14万元，其中：</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人员经费241.56万元，包括：基本工资、津贴补贴、奖金、机关事业单位基本养老保险缴费、职工基本医疗保险缴费、公务员医疗补助缴费、其他社会保障缴费、住房公积金、退休费、奖励金。</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公用经费20.59万元，包括：办公费、咨询费、邮电费、差旅费、专用材料费、劳务费、公务用车运行维护费、其他商品和服务支出。</w:t>
      </w:r>
    </w:p>
    <w:p w:rsidR="008853A8" w:rsidRDefault="008853A8">
      <w:pPr>
        <w:ind w:firstLineChars="200" w:firstLine="640"/>
        <w:outlineLvl w:val="1"/>
        <w:rPr>
          <w:rFonts w:ascii="黑体" w:eastAsia="黑体" w:hAnsi="黑体" w:cs="宋体"/>
          <w:bCs/>
          <w:kern w:val="0"/>
          <w:sz w:val="32"/>
          <w:szCs w:val="32"/>
        </w:rPr>
      </w:pPr>
      <w:bookmarkStart w:id="20" w:name="_Toc7190"/>
      <w:bookmarkStart w:id="21" w:name="_Toc21518"/>
      <w:r>
        <w:rPr>
          <w:rFonts w:ascii="黑体" w:eastAsia="黑体" w:hAnsi="黑体" w:cs="宋体" w:hint="eastAsia"/>
          <w:bCs/>
          <w:kern w:val="0"/>
          <w:sz w:val="32"/>
          <w:szCs w:val="32"/>
        </w:rPr>
        <w:t>七、一般公共预算财政拨款“三公”经费支出决算情况说明</w:t>
      </w:r>
      <w:bookmarkEnd w:id="20"/>
      <w:bookmarkEnd w:id="21"/>
    </w:p>
    <w:p w:rsidR="008853A8" w:rsidRDefault="00340AE7">
      <w:pPr>
        <w:ind w:firstLineChars="200" w:firstLine="640"/>
        <w:rPr>
          <w:rFonts w:ascii="仿宋_GB2312" w:eastAsia="仿宋_GB2312"/>
          <w:sz w:val="32"/>
          <w:szCs w:val="32"/>
        </w:rPr>
      </w:pPr>
      <w:r>
        <w:rPr>
          <w:rFonts w:ascii="仿宋_GB2312" w:eastAsia="仿宋_GB2312" w:hAnsi="仿宋_GB2312" w:cs="仿宋_GB2312"/>
          <w:sz w:val="32"/>
        </w:rPr>
        <w:t>2019年度一般公共预算“三公”经费支出决算0.68万元，比上年减少3.20万元，降低82.47%，主要原因是厉行节约，压缩“三公”经费开支。其中，因公出国（境）费支出0万元，占0%，比上年增加0万元，增长0%，主要原因是与上年相比无变动，与上年一致；公务用车购置及运行维护费支出0.68万元，占100%，比上年减少3.20万元，降低82.47%，主要原因是厉行节约，压缩“三公”经费开支；公务接待费支出0万元，占0%，比上年增加0万元，增长0%，主要原因是与上年相比无变动，与上年一致。具体情况如下：</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因公出国（境）费支出0万元，开支内容包括：预算未安排，无此项开支。单位全年安排的因公出国（境）团组0个，因公出国（境）0人次。</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公务用车购置及运行维护费0.68万元，其中，公务用车购置费0万元，公务用车运行维护费0.68万元。公务用车运行维护费开支内容包括车辆燃油费、维护费、过路费。公务用车购置数0辆，公务用车保有量1辆。</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公务接待费0万元，开支内容包括预算未安排，无此项开支。单位全年安排的国内公务接待0批次，0人次。</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与年初预算数相比情况：一般公共预算“三公”经费支出年初预算数1.56万元，决算数0.68万元，预决算差异率-56.41%，主要原因是：厉行节约，压缩“三公”经费，其次在职人员减少2人，相应“三公”经费实际开支减少，因此决算数小于年初预算数。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1.56万元，决算数0.68万元，预决算差异率-56.41%，主要原因是：厉行节约，压缩“三公”经费，其次在职人员减少2人，相应“三公”经费实际开支减少，因此决算数小于年初预算数；公务接待费预算数0万元，决算数0万元，预决算差异率0%，主要原因是：预算未安排，也无相应支出，因此预决算无差异。</w:t>
      </w:r>
    </w:p>
    <w:p w:rsidR="008853A8" w:rsidRDefault="008853A8">
      <w:pPr>
        <w:ind w:firstLineChars="200" w:firstLine="640"/>
        <w:outlineLvl w:val="1"/>
        <w:rPr>
          <w:rFonts w:ascii="黑体" w:eastAsia="黑体" w:hAnsi="黑体" w:cs="宋体"/>
          <w:bCs/>
          <w:kern w:val="0"/>
          <w:sz w:val="32"/>
          <w:szCs w:val="32"/>
        </w:rPr>
      </w:pPr>
      <w:bookmarkStart w:id="22" w:name="_Toc7927"/>
      <w:bookmarkStart w:id="23" w:name="_Toc5810"/>
      <w:r>
        <w:rPr>
          <w:rFonts w:ascii="黑体" w:eastAsia="黑体" w:hAnsi="黑体" w:cs="宋体" w:hint="eastAsia"/>
          <w:bCs/>
          <w:kern w:val="0"/>
          <w:sz w:val="32"/>
          <w:szCs w:val="32"/>
        </w:rPr>
        <w:t>八、政府性基金预算收入支出决算情况说明</w:t>
      </w:r>
      <w:bookmarkEnd w:id="22"/>
      <w:bookmarkEnd w:id="23"/>
    </w:p>
    <w:p w:rsidR="008853A8" w:rsidRPr="008F7D99" w:rsidRDefault="00922FA7">
      <w:pPr>
        <w:ind w:firstLineChars="200" w:firstLine="640"/>
        <w:rPr>
          <w:rFonts w:ascii="仿宋_GB2312" w:eastAsia="仿宋_GB2312"/>
          <w:color w:val="000000" w:themeColor="text1"/>
          <w:sz w:val="32"/>
          <w:szCs w:val="32"/>
        </w:rPr>
      </w:pPr>
      <w:r>
        <w:rPr>
          <w:rFonts w:ascii="仿宋_GB2312" w:eastAsia="仿宋_GB2312" w:hAnsi="仿宋_GB2312" w:cs="仿宋_GB2312"/>
          <w:sz w:val="32"/>
        </w:rPr>
        <w:t>我单位本年度无政府性基金预算财政拨款收入支出，政府性基金预算财政拨款收入支出决算表为空表。</w:t>
      </w:r>
    </w:p>
    <w:p w:rsidR="008853A8" w:rsidRDefault="008853A8">
      <w:pPr>
        <w:ind w:firstLineChars="200" w:firstLine="640"/>
        <w:outlineLvl w:val="1"/>
        <w:rPr>
          <w:rFonts w:ascii="黑体" w:eastAsia="黑体" w:hAnsi="黑体" w:cs="宋体"/>
          <w:bCs/>
          <w:kern w:val="0"/>
          <w:sz w:val="32"/>
          <w:szCs w:val="32"/>
        </w:rPr>
      </w:pPr>
      <w:bookmarkStart w:id="24" w:name="_Toc7314"/>
      <w:bookmarkStart w:id="25" w:name="_Toc1235"/>
      <w:r>
        <w:rPr>
          <w:rFonts w:ascii="黑体" w:eastAsia="黑体" w:hAnsi="黑体" w:cs="宋体" w:hint="eastAsia"/>
          <w:bCs/>
          <w:kern w:val="0"/>
          <w:sz w:val="32"/>
          <w:szCs w:val="32"/>
        </w:rPr>
        <w:t>九、其他重要事项的情况说明</w:t>
      </w:r>
      <w:bookmarkEnd w:id="24"/>
      <w:bookmarkEnd w:id="25"/>
    </w:p>
    <w:p w:rsidR="008853A8" w:rsidRDefault="008853A8">
      <w:pPr>
        <w:ind w:firstLineChars="200" w:firstLine="640"/>
        <w:outlineLvl w:val="2"/>
        <w:rPr>
          <w:rFonts w:ascii="黑体" w:eastAsia="黑体" w:hAnsi="黑体"/>
          <w:sz w:val="32"/>
          <w:szCs w:val="32"/>
        </w:rPr>
      </w:pPr>
      <w:bookmarkStart w:id="26" w:name="_Toc13105"/>
      <w:bookmarkStart w:id="27" w:name="_Toc14519"/>
      <w:r>
        <w:rPr>
          <w:rFonts w:ascii="黑体" w:eastAsia="黑体" w:hAnsi="黑体" w:hint="eastAsia"/>
          <w:sz w:val="32"/>
          <w:szCs w:val="32"/>
        </w:rPr>
        <w:t>（一）机关运行经费支出情况</w:t>
      </w:r>
      <w:bookmarkEnd w:id="26"/>
      <w:bookmarkEnd w:id="27"/>
    </w:p>
    <w:p w:rsidR="00553FB5" w:rsidRDefault="00553FB5">
      <w:pPr>
        <w:ind w:firstLineChars="200" w:firstLine="640"/>
        <w:rPr>
          <w:rFonts w:ascii="仿宋_GB2312" w:eastAsia="仿宋_GB2312"/>
          <w:sz w:val="32"/>
          <w:szCs w:val="32"/>
        </w:rPr>
      </w:pPr>
      <w:r>
        <w:rPr>
          <w:rFonts w:ascii="仿宋_GB2312" w:eastAsia="仿宋_GB2312" w:hAnsi="仿宋_GB2312" w:cs="仿宋_GB2312"/>
          <w:sz w:val="32"/>
        </w:rPr>
        <w:t>2019年度新疆喀什地区麦盖提县审计局机关运行经费支出20.59万元，比上年增加19.43万元，增长1675%，主要原因是</w:t>
      </w:r>
      <w:r w:rsidR="004D08AE">
        <w:rPr>
          <w:rFonts w:ascii="仿宋_GB2312" w:eastAsia="仿宋_GB2312" w:hAnsi="仿宋_GB2312" w:cs="仿宋_GB2312" w:hint="eastAsia"/>
          <w:sz w:val="32"/>
        </w:rPr>
        <w:t>县人民政府临时安排的异地扶贫审计产生的差旅费较去年增加，聘请第三方审计咨询费较去年增加</w:t>
      </w:r>
      <w:r>
        <w:rPr>
          <w:rFonts w:ascii="仿宋_GB2312" w:eastAsia="仿宋_GB2312" w:hAnsi="仿宋_GB2312" w:cs="仿宋_GB2312"/>
          <w:sz w:val="32"/>
        </w:rPr>
        <w:t>。</w:t>
      </w:r>
    </w:p>
    <w:p w:rsidR="008853A8" w:rsidRDefault="008853A8">
      <w:pPr>
        <w:ind w:firstLineChars="200" w:firstLine="640"/>
        <w:outlineLvl w:val="2"/>
        <w:rPr>
          <w:rFonts w:ascii="黑体" w:eastAsia="黑体" w:hAnsi="黑体"/>
          <w:sz w:val="32"/>
          <w:szCs w:val="32"/>
        </w:rPr>
      </w:pPr>
      <w:bookmarkStart w:id="28" w:name="_Toc26704"/>
      <w:bookmarkStart w:id="29" w:name="_Toc227"/>
      <w:r>
        <w:rPr>
          <w:rFonts w:ascii="黑体" w:eastAsia="黑体" w:hAnsi="黑体" w:hint="eastAsia"/>
          <w:sz w:val="32"/>
          <w:szCs w:val="32"/>
        </w:rPr>
        <w:t>（二）政府采购情况</w:t>
      </w:r>
      <w:bookmarkEnd w:id="28"/>
      <w:bookmarkEnd w:id="29"/>
    </w:p>
    <w:p w:rsidR="008853A8" w:rsidRDefault="002122DE">
      <w:pPr>
        <w:ind w:firstLineChars="200" w:firstLine="640"/>
        <w:rPr>
          <w:rFonts w:ascii="仿宋_GB2312" w:eastAsia="仿宋_GB2312"/>
          <w:sz w:val="32"/>
          <w:szCs w:val="32"/>
        </w:rPr>
      </w:pPr>
      <w:r>
        <w:rPr>
          <w:rFonts w:ascii="仿宋_GB2312" w:eastAsia="仿宋_GB2312" w:hAnsi="仿宋_GB2312" w:cs="仿宋_GB2312"/>
          <w:sz w:val="32"/>
        </w:rPr>
        <w:t>2019年度政府采购支出总额0.46万元，其中：政府采购货物支出0万元、政府采购工程支出0万元、政府采购服务支出0.46万元。</w:t>
      </w:r>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授予中小企业合同金额0.46万元，占政府采购支出总额的100%，其中：授予小微企业合同金额0.46万元，占政府采购支出总额的100%。</w:t>
      </w:r>
    </w:p>
    <w:p w:rsidR="008853A8" w:rsidRDefault="008853A8">
      <w:pPr>
        <w:ind w:firstLineChars="200" w:firstLine="640"/>
        <w:outlineLvl w:val="2"/>
        <w:rPr>
          <w:rFonts w:ascii="黑体" w:eastAsia="黑体" w:hAnsi="黑体"/>
          <w:sz w:val="32"/>
          <w:szCs w:val="32"/>
        </w:rPr>
      </w:pPr>
      <w:bookmarkStart w:id="30" w:name="_Toc4591"/>
      <w:bookmarkStart w:id="31" w:name="_Toc8391"/>
      <w:r>
        <w:rPr>
          <w:rFonts w:ascii="黑体" w:eastAsia="黑体" w:hAnsi="黑体" w:hint="eastAsia"/>
          <w:sz w:val="32"/>
          <w:szCs w:val="32"/>
        </w:rPr>
        <w:t>（三）国有资产占用情况说明</w:t>
      </w:r>
      <w:bookmarkEnd w:id="30"/>
      <w:bookmarkEnd w:id="31"/>
    </w:p>
    <w:p w:rsidR="008853A8" w:rsidRDefault="008853A8">
      <w:pPr>
        <w:ind w:firstLineChars="200" w:firstLine="640"/>
        <w:rPr>
          <w:rFonts w:ascii="仿宋_GB2312" w:eastAsia="仿宋_GB2312"/>
          <w:sz w:val="32"/>
          <w:szCs w:val="32"/>
        </w:rPr>
      </w:pPr>
      <w:r>
        <w:rPr>
          <w:rFonts w:ascii="仿宋_GB2312" w:eastAsia="仿宋_GB2312" w:hAnsi="仿宋_GB2312" w:cs="仿宋_GB2312"/>
          <w:sz w:val="32"/>
        </w:rPr>
        <w:t>截止2019年12月31日，单位共有房屋0（平方米），价值0万元。车辆1辆，价值19.04万元，其中：副部（省）级及以上领导用车0辆、主要领导干部用车0辆、机要通信用车0辆、应急保障用车0辆、执法执勤用车0辆、特种专业技术用车0辆、离退休干部用车0辆、其他用车1辆，其他用车主要是：一般公务用车；单位价值50万元以上通用设备0台（套）、单位价值100万元以上专用设备0台（套）。</w:t>
      </w:r>
    </w:p>
    <w:p w:rsidR="008853A8" w:rsidRDefault="008853A8">
      <w:pPr>
        <w:ind w:firstLineChars="200" w:firstLine="640"/>
        <w:outlineLvl w:val="1"/>
        <w:rPr>
          <w:rFonts w:ascii="黑体" w:eastAsia="黑体" w:hAnsi="黑体" w:cs="宋体"/>
          <w:bCs/>
          <w:kern w:val="0"/>
          <w:sz w:val="32"/>
          <w:szCs w:val="32"/>
        </w:rPr>
      </w:pPr>
      <w:bookmarkStart w:id="32" w:name="_Toc435"/>
      <w:bookmarkStart w:id="33" w:name="_Toc11283"/>
      <w:r>
        <w:rPr>
          <w:rFonts w:ascii="黑体" w:eastAsia="黑体" w:hAnsi="黑体" w:cs="宋体" w:hint="eastAsia"/>
          <w:bCs/>
          <w:kern w:val="0"/>
          <w:sz w:val="32"/>
          <w:szCs w:val="32"/>
        </w:rPr>
        <w:t>十、预算绩效的情况说明</w:t>
      </w:r>
      <w:bookmarkEnd w:id="32"/>
      <w:bookmarkEnd w:id="33"/>
    </w:p>
    <w:p w:rsidR="008853A8" w:rsidRDefault="0095219B">
      <w:pPr>
        <w:ind w:firstLineChars="200" w:firstLine="640"/>
        <w:rPr>
          <w:rFonts w:ascii="仿宋_GB2312" w:eastAsia="仿宋_GB2312"/>
          <w:sz w:val="32"/>
          <w:szCs w:val="32"/>
        </w:rPr>
      </w:pPr>
      <w:r>
        <w:rPr>
          <w:rFonts w:ascii="仿宋_GB2312" w:eastAsia="仿宋_GB2312" w:hAnsi="仿宋_GB2312" w:cs="仿宋_GB2312"/>
          <w:sz w:val="32"/>
        </w:rPr>
        <w:t>根据预算绩效管理要求，我单位2019年度开展预算绩效评价项目2个，共涉及资金25.47万元。预算绩效管理取得的成效：1、地区审计业务费：日常工作按月度正常进行，已完成审计项目10个，其余4个均为跨年度审计项目。2、政务整体化资金：落实了本单位2019年审计项目及各乡镇经济责任工作及时运转，购买电脑、打印机、硬盘等审计工作办公设备，保障了审计工作高效运行。发现的问题及原因：做好档案的归纳与整理，及时整理、收集、汇总，健全档案资料；项目前期工作准备不够充分。下一步改进措施：一是以后审计过程中要突出重点，抓典型、出成果。审计要有深度，还要敢于揭露问题，努力从体制机制层面揭示问题，对严重违纪违法问题要及时移送相关部门，对苗头性、倾向性问题要及时制止，发挥防微杜渐的作用，形成有效的整改合力，通过多方联动，促进解决审计整改不实的老问题。二是要加强整改，对审计查出问题的整改，要形成台账，以告知书形式下发，限期完成；要完善审计整改结果运用机制，将审计查出问题整改工作与政府预算管理工作结合起来，将整改工作的成果及时运用到工作中。三是要建立审计整改协作联动机制，加强审计机关、纪检监察机关、财政等部门的工作协调，对重大违法违规问题，及时作出处理，要明确整改期限和时间表，完善长效机制。具体项目自评情况附项目支出绩效自评表。</w:t>
      </w:r>
    </w:p>
    <w:p w:rsidR="008853A8" w:rsidRDefault="008853A8">
      <w:pPr>
        <w:ind w:firstLineChars="200" w:firstLine="640"/>
        <w:jc w:val="center"/>
        <w:outlineLvl w:val="0"/>
        <w:rPr>
          <w:rFonts w:ascii="黑体" w:eastAsia="黑体" w:hAnsi="黑体"/>
          <w:sz w:val="32"/>
          <w:szCs w:val="32"/>
        </w:rPr>
      </w:pPr>
      <w:bookmarkStart w:id="34" w:name="_Toc24143"/>
      <w:bookmarkStart w:id="35" w:name="_Toc3250"/>
      <w:r>
        <w:rPr>
          <w:rFonts w:ascii="黑体" w:eastAsia="黑体" w:hAnsi="黑体" w:hint="eastAsia"/>
          <w:sz w:val="32"/>
          <w:szCs w:val="32"/>
        </w:rPr>
        <w:t>第三部分 专业名词解释</w:t>
      </w:r>
      <w:bookmarkEnd w:id="34"/>
      <w:bookmarkEnd w:id="35"/>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8853A8" w:rsidRDefault="008853A8">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8853A8" w:rsidRDefault="008853A8">
      <w:pPr>
        <w:ind w:firstLineChars="200" w:firstLine="640"/>
        <w:jc w:val="center"/>
        <w:outlineLvl w:val="0"/>
        <w:rPr>
          <w:rFonts w:ascii="黑体" w:eastAsia="黑体" w:hAnsi="黑体"/>
          <w:sz w:val="32"/>
          <w:szCs w:val="32"/>
        </w:rPr>
      </w:pPr>
      <w:bookmarkStart w:id="36" w:name="_Toc28903"/>
      <w:bookmarkStart w:id="37" w:name="_Toc22784"/>
      <w:r>
        <w:rPr>
          <w:rFonts w:ascii="黑体" w:eastAsia="黑体" w:hAnsi="黑体" w:hint="eastAsia"/>
          <w:sz w:val="32"/>
          <w:szCs w:val="32"/>
        </w:rPr>
        <w:t>第四部分 部门决算报表（见附表）</w:t>
      </w:r>
      <w:bookmarkEnd w:id="36"/>
      <w:bookmarkEnd w:id="37"/>
    </w:p>
    <w:p w:rsidR="008853A8" w:rsidRDefault="008853A8">
      <w:pPr>
        <w:ind w:firstLineChars="200" w:firstLine="640"/>
        <w:outlineLvl w:val="1"/>
        <w:rPr>
          <w:rFonts w:ascii="黑体" w:eastAsia="黑体" w:hAnsi="黑体" w:cs="宋体"/>
          <w:bCs/>
          <w:kern w:val="0"/>
          <w:sz w:val="32"/>
          <w:szCs w:val="32"/>
        </w:rPr>
      </w:pPr>
      <w:bookmarkStart w:id="38" w:name="_Toc6062"/>
      <w:bookmarkStart w:id="39" w:name="_Toc2183"/>
      <w:r>
        <w:rPr>
          <w:rFonts w:ascii="黑体" w:eastAsia="黑体" w:hAnsi="黑体" w:cs="宋体" w:hint="eastAsia"/>
          <w:bCs/>
          <w:kern w:val="0"/>
          <w:sz w:val="32"/>
          <w:szCs w:val="32"/>
        </w:rPr>
        <w:t>一、《收入支出决算总表》</w:t>
      </w:r>
      <w:bookmarkEnd w:id="38"/>
      <w:bookmarkEnd w:id="39"/>
    </w:p>
    <w:p w:rsidR="008853A8" w:rsidRDefault="008853A8">
      <w:pPr>
        <w:ind w:firstLineChars="200" w:firstLine="640"/>
        <w:outlineLvl w:val="1"/>
        <w:rPr>
          <w:rFonts w:ascii="黑体" w:eastAsia="黑体" w:hAnsi="黑体" w:cs="宋体"/>
          <w:bCs/>
          <w:kern w:val="0"/>
          <w:sz w:val="32"/>
          <w:szCs w:val="32"/>
        </w:rPr>
      </w:pPr>
      <w:bookmarkStart w:id="40" w:name="_Toc30364"/>
      <w:bookmarkStart w:id="41" w:name="_Toc24532"/>
      <w:r>
        <w:rPr>
          <w:rFonts w:ascii="黑体" w:eastAsia="黑体" w:hAnsi="黑体" w:cs="宋体" w:hint="eastAsia"/>
          <w:bCs/>
          <w:kern w:val="0"/>
          <w:sz w:val="32"/>
          <w:szCs w:val="32"/>
        </w:rPr>
        <w:t>二、《收入决算表》</w:t>
      </w:r>
      <w:bookmarkEnd w:id="40"/>
      <w:bookmarkEnd w:id="41"/>
    </w:p>
    <w:p w:rsidR="008853A8" w:rsidRDefault="008853A8">
      <w:pPr>
        <w:ind w:firstLineChars="200" w:firstLine="640"/>
        <w:outlineLvl w:val="1"/>
        <w:rPr>
          <w:rFonts w:ascii="黑体" w:eastAsia="黑体" w:hAnsi="黑体" w:cs="宋体"/>
          <w:bCs/>
          <w:kern w:val="0"/>
          <w:sz w:val="32"/>
          <w:szCs w:val="32"/>
        </w:rPr>
      </w:pPr>
      <w:bookmarkStart w:id="42" w:name="_Toc21304"/>
      <w:bookmarkStart w:id="43" w:name="_Toc32434"/>
      <w:r>
        <w:rPr>
          <w:rFonts w:ascii="黑体" w:eastAsia="黑体" w:hAnsi="黑体" w:cs="宋体" w:hint="eastAsia"/>
          <w:bCs/>
          <w:kern w:val="0"/>
          <w:sz w:val="32"/>
          <w:szCs w:val="32"/>
        </w:rPr>
        <w:t>三、《支出决算表》</w:t>
      </w:r>
      <w:bookmarkEnd w:id="42"/>
      <w:bookmarkEnd w:id="43"/>
    </w:p>
    <w:p w:rsidR="008853A8" w:rsidRDefault="008853A8">
      <w:pPr>
        <w:ind w:firstLineChars="200" w:firstLine="640"/>
        <w:outlineLvl w:val="1"/>
        <w:rPr>
          <w:rFonts w:ascii="黑体" w:eastAsia="黑体" w:hAnsi="黑体" w:cs="宋体"/>
          <w:bCs/>
          <w:kern w:val="0"/>
          <w:sz w:val="32"/>
          <w:szCs w:val="32"/>
        </w:rPr>
      </w:pPr>
      <w:bookmarkStart w:id="44" w:name="_Toc14238"/>
      <w:bookmarkStart w:id="45" w:name="_Toc28786"/>
      <w:r>
        <w:rPr>
          <w:rFonts w:ascii="黑体" w:eastAsia="黑体" w:hAnsi="黑体" w:cs="宋体" w:hint="eastAsia"/>
          <w:bCs/>
          <w:kern w:val="0"/>
          <w:sz w:val="32"/>
          <w:szCs w:val="32"/>
        </w:rPr>
        <w:t>四、《财政拨款收入支出决算总表》</w:t>
      </w:r>
      <w:bookmarkEnd w:id="44"/>
      <w:bookmarkEnd w:id="45"/>
    </w:p>
    <w:p w:rsidR="008853A8" w:rsidRDefault="008853A8">
      <w:pPr>
        <w:ind w:firstLineChars="200" w:firstLine="640"/>
        <w:outlineLvl w:val="1"/>
        <w:rPr>
          <w:rFonts w:ascii="黑体" w:eastAsia="黑体" w:hAnsi="黑体" w:cs="宋体"/>
          <w:bCs/>
          <w:kern w:val="0"/>
          <w:sz w:val="32"/>
          <w:szCs w:val="32"/>
        </w:rPr>
      </w:pPr>
      <w:bookmarkStart w:id="46" w:name="_Toc10347"/>
      <w:bookmarkStart w:id="47" w:name="_Toc14869"/>
      <w:r>
        <w:rPr>
          <w:rFonts w:ascii="黑体" w:eastAsia="黑体" w:hAnsi="黑体" w:cs="宋体" w:hint="eastAsia"/>
          <w:bCs/>
          <w:kern w:val="0"/>
          <w:sz w:val="32"/>
          <w:szCs w:val="32"/>
        </w:rPr>
        <w:t>五、《一般公共预算财政拨款支出决算表》</w:t>
      </w:r>
      <w:bookmarkEnd w:id="46"/>
      <w:bookmarkEnd w:id="47"/>
    </w:p>
    <w:p w:rsidR="008853A8" w:rsidRDefault="008853A8">
      <w:pPr>
        <w:ind w:firstLineChars="200" w:firstLine="640"/>
        <w:outlineLvl w:val="1"/>
        <w:rPr>
          <w:rFonts w:ascii="黑体" w:eastAsia="黑体" w:hAnsi="黑体" w:cs="宋体"/>
          <w:bCs/>
          <w:kern w:val="0"/>
          <w:sz w:val="32"/>
          <w:szCs w:val="32"/>
        </w:rPr>
      </w:pPr>
      <w:bookmarkStart w:id="48" w:name="_Toc5626"/>
      <w:bookmarkStart w:id="49" w:name="_Toc8884"/>
      <w:r>
        <w:rPr>
          <w:rFonts w:ascii="黑体" w:eastAsia="黑体" w:hAnsi="黑体" w:cs="宋体" w:hint="eastAsia"/>
          <w:bCs/>
          <w:kern w:val="0"/>
          <w:sz w:val="32"/>
          <w:szCs w:val="32"/>
        </w:rPr>
        <w:t>六、《一般公共预算财政拨款基本支出决算表》</w:t>
      </w:r>
      <w:bookmarkEnd w:id="48"/>
      <w:bookmarkEnd w:id="49"/>
    </w:p>
    <w:p w:rsidR="008853A8" w:rsidRDefault="008853A8">
      <w:pPr>
        <w:ind w:firstLineChars="200" w:firstLine="640"/>
        <w:outlineLvl w:val="1"/>
        <w:rPr>
          <w:rFonts w:ascii="黑体" w:eastAsia="黑体" w:hAnsi="黑体" w:cs="宋体"/>
          <w:bCs/>
          <w:kern w:val="0"/>
          <w:sz w:val="32"/>
          <w:szCs w:val="32"/>
        </w:rPr>
      </w:pPr>
      <w:bookmarkStart w:id="50" w:name="_Toc32663"/>
      <w:bookmarkStart w:id="51" w:name="_Toc29106"/>
      <w:r>
        <w:rPr>
          <w:rFonts w:ascii="黑体" w:eastAsia="黑体" w:hAnsi="黑体" w:cs="宋体" w:hint="eastAsia"/>
          <w:bCs/>
          <w:kern w:val="0"/>
          <w:sz w:val="32"/>
          <w:szCs w:val="32"/>
        </w:rPr>
        <w:t>七、《一般公共预算财政拨款“三公”经费支出决算表》</w:t>
      </w:r>
      <w:bookmarkEnd w:id="50"/>
      <w:bookmarkEnd w:id="51"/>
    </w:p>
    <w:p w:rsidR="008853A8" w:rsidRDefault="008853A8">
      <w:pPr>
        <w:ind w:firstLineChars="200" w:firstLine="640"/>
        <w:outlineLvl w:val="1"/>
        <w:rPr>
          <w:rFonts w:ascii="黑体" w:eastAsia="黑体" w:hAnsi="黑体" w:cs="宋体"/>
          <w:bCs/>
          <w:kern w:val="0"/>
          <w:sz w:val="32"/>
          <w:szCs w:val="32"/>
        </w:rPr>
      </w:pPr>
      <w:bookmarkStart w:id="52" w:name="_Toc5453"/>
      <w:bookmarkStart w:id="53" w:name="_Toc7643"/>
      <w:r>
        <w:rPr>
          <w:rFonts w:ascii="黑体" w:eastAsia="黑体" w:hAnsi="黑体" w:cs="宋体" w:hint="eastAsia"/>
          <w:bCs/>
          <w:kern w:val="0"/>
          <w:sz w:val="32"/>
          <w:szCs w:val="32"/>
        </w:rPr>
        <w:t>八、《政府性基金预算财政拨款收入支出决算表》</w:t>
      </w:r>
      <w:bookmarkEnd w:id="52"/>
      <w:bookmarkEnd w:id="53"/>
    </w:p>
    <w:sectPr w:rsidR="008853A8" w:rsidSect="000126B0">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25C9" w:rsidRDefault="00D725C9">
      <w:r>
        <w:separator/>
      </w:r>
    </w:p>
  </w:endnote>
  <w:endnote w:type="continuationSeparator" w:id="0">
    <w:p w:rsidR="00D725C9" w:rsidRDefault="00D725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微软雅黑"/>
    <w:charset w:val="86"/>
    <w:family w:val="modern"/>
    <w:pitch w:val="default"/>
    <w:sig w:usb0="00000000" w:usb1="00000000" w:usb2="00000010" w:usb3="00000000" w:csb0="00040000" w:csb1="00000000"/>
  </w:font>
  <w:font w:name="等线 Light">
    <w:altName w:val="微软雅黑"/>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8" w:rsidRDefault="009042F1">
    <w:pPr>
      <w:pStyle w:val="a4"/>
    </w:pPr>
    <w:r>
      <w:rPr>
        <w:noProof/>
      </w:rPr>
      <w:pict>
        <v:shapetype id="_x0000_t202" coordsize="21600,21600" o:spt="202" path="m,l,21600r21600,l21600,xe">
          <v:stroke joinstyle="miter"/>
          <v:path gradientshapeok="t" o:connecttype="rect"/>
        </v:shapetype>
        <v:shape id="文本框 1" o:spid="_x0000_s4097" type="#_x0000_t202" style="position:absolute;margin-left:0;margin-top:0;width:2in;height:2in;z-index:251657728;visibility:visible;mso-wrap-style:none;mso-position-horizontal:center;mso-position-horizontal-relative:margin" filled="f" stroked="f">
          <v:textbox style="mso-fit-shape-to-text:t" inset="0,0,0,0">
            <w:txbxContent>
              <w:p w:rsidR="008853A8" w:rsidRDefault="009042F1">
                <w:pPr>
                  <w:pStyle w:val="a4"/>
                </w:pPr>
                <w:r>
                  <w:rPr>
                    <w:rFonts w:hint="eastAsia"/>
                  </w:rPr>
                  <w:fldChar w:fldCharType="begin"/>
                </w:r>
                <w:r w:rsidR="008853A8">
                  <w:rPr>
                    <w:rFonts w:hint="eastAsia"/>
                  </w:rPr>
                  <w:instrText xml:space="preserve"> PAGE  \* MERGEFORMAT </w:instrText>
                </w:r>
                <w:r>
                  <w:rPr>
                    <w:rFonts w:hint="eastAsia"/>
                  </w:rPr>
                  <w:fldChar w:fldCharType="separate"/>
                </w:r>
                <w:r w:rsidR="00D970C0">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25C9" w:rsidRDefault="00D725C9">
      <w:r>
        <w:separator/>
      </w:r>
    </w:p>
  </w:footnote>
  <w:footnote w:type="continuationSeparator" w:id="0">
    <w:p w:rsidR="00D725C9" w:rsidRDefault="00D725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70"/>
  <w:bordersDoNotSurroundHeader/>
  <w:bordersDoNotSurroundFooter/>
  <w:proofState w:spelling="clean"/>
  <w:documentProtection w:edit="comments" w:enforcement="0"/>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6E66"/>
    <w:rsid w:val="000033EF"/>
    <w:rsid w:val="00004533"/>
    <w:rsid w:val="00005A21"/>
    <w:rsid w:val="000126B0"/>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943"/>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08AE"/>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87614"/>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042F1"/>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25C9"/>
    <w:rsid w:val="00D767F4"/>
    <w:rsid w:val="00D970C0"/>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126B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toc 2"/>
    <w:basedOn w:val="a"/>
    <w:next w:val="a"/>
    <w:rsid w:val="000126B0"/>
    <w:pPr>
      <w:ind w:leftChars="200" w:left="420"/>
    </w:pPr>
  </w:style>
  <w:style w:type="paragraph" w:styleId="1">
    <w:name w:val="toc 1"/>
    <w:basedOn w:val="a"/>
    <w:next w:val="a"/>
    <w:rsid w:val="000126B0"/>
  </w:style>
  <w:style w:type="paragraph" w:styleId="a3">
    <w:name w:val="header"/>
    <w:basedOn w:val="a"/>
    <w:rsid w:val="000126B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
    <w:name w:val="toc 3"/>
    <w:basedOn w:val="a"/>
    <w:next w:val="a"/>
    <w:rsid w:val="000126B0"/>
    <w:pPr>
      <w:ind w:leftChars="400" w:left="840"/>
    </w:pPr>
  </w:style>
  <w:style w:type="paragraph" w:styleId="a4">
    <w:name w:val="footer"/>
    <w:basedOn w:val="a"/>
    <w:rsid w:val="000126B0"/>
    <w:pPr>
      <w:tabs>
        <w:tab w:val="center" w:pos="4153"/>
        <w:tab w:val="right" w:pos="8306"/>
      </w:tabs>
      <w:snapToGrid w:val="0"/>
      <w:jc w:val="left"/>
    </w:pPr>
    <w:rPr>
      <w:sz w:val="18"/>
    </w:rPr>
  </w:style>
  <w:style w:type="paragraph" w:styleId="a5">
    <w:name w:val="annotation text"/>
    <w:basedOn w:val="a"/>
    <w:rsid w:val="000126B0"/>
    <w:pPr>
      <w:jc w:val="left"/>
    </w:pPr>
  </w:style>
  <w:style w:type="paragraph" w:customStyle="1" w:styleId="WPSOffice3">
    <w:name w:val="WPSOffice手动目录 3"/>
    <w:rsid w:val="000126B0"/>
    <w:pPr>
      <w:ind w:leftChars="400" w:left="400"/>
    </w:pPr>
  </w:style>
  <w:style w:type="paragraph" w:customStyle="1" w:styleId="WPSOffice2">
    <w:name w:val="WPSOffice手动目录 2"/>
    <w:rsid w:val="000126B0"/>
    <w:pPr>
      <w:ind w:leftChars="200" w:left="200"/>
    </w:pPr>
  </w:style>
  <w:style w:type="paragraph" w:customStyle="1" w:styleId="WPSOffice1">
    <w:name w:val="WPSOffice手动目录 1"/>
    <w:rsid w:val="000126B0"/>
  </w:style>
</w:styles>
</file>

<file path=word/webSettings.xml><?xml version="1.0" encoding="utf-8"?>
<w:webSettings xmlns:r="http://schemas.openxmlformats.org/officeDocument/2006/relationships" xmlns:w="http://schemas.openxmlformats.org/wordprocessingml/2006/main">
  <w:divs>
    <w:div w:id="497381100">
      <w:bodyDiv w:val="1"/>
      <w:marLeft w:val="0"/>
      <w:marRight w:val="0"/>
      <w:marTop w:val="0"/>
      <w:marBottom w:val="0"/>
      <w:divBdr>
        <w:top w:val="none" w:sz="0" w:space="0" w:color="auto"/>
        <w:left w:val="none" w:sz="0" w:space="0" w:color="auto"/>
        <w:bottom w:val="none" w:sz="0" w:space="0" w:color="auto"/>
        <w:right w:val="none" w:sz="0" w:space="0" w:color="auto"/>
      </w:divBdr>
    </w:div>
    <w:div w:id="726150857">
      <w:bodyDiv w:val="1"/>
      <w:marLeft w:val="0"/>
      <w:marRight w:val="0"/>
      <w:marTop w:val="0"/>
      <w:marBottom w:val="0"/>
      <w:divBdr>
        <w:top w:val="none" w:sz="0" w:space="0" w:color="auto"/>
        <w:left w:val="none" w:sz="0" w:space="0" w:color="auto"/>
        <w:bottom w:val="none" w:sz="0" w:space="0" w:color="auto"/>
        <w:right w:val="none" w:sz="0" w:space="0" w:color="auto"/>
      </w:divBdr>
    </w:div>
    <w:div w:id="1085761621">
      <w:bodyDiv w:val="1"/>
      <w:marLeft w:val="0"/>
      <w:marRight w:val="0"/>
      <w:marTop w:val="0"/>
      <w:marBottom w:val="0"/>
      <w:divBdr>
        <w:top w:val="none" w:sz="0" w:space="0" w:color="auto"/>
        <w:left w:val="none" w:sz="0" w:space="0" w:color="auto"/>
        <w:bottom w:val="none" w:sz="0" w:space="0" w:color="auto"/>
        <w:right w:val="none" w:sz="0" w:space="0" w:color="auto"/>
      </w:divBdr>
    </w:div>
    <w:div w:id="1572694809">
      <w:bodyDiv w:val="1"/>
      <w:marLeft w:val="0"/>
      <w:marRight w:val="0"/>
      <w:marTop w:val="0"/>
      <w:marBottom w:val="0"/>
      <w:divBdr>
        <w:top w:val="none" w:sz="0" w:space="0" w:color="auto"/>
        <w:left w:val="none" w:sz="0" w:space="0" w:color="auto"/>
        <w:bottom w:val="none" w:sz="0" w:space="0" w:color="auto"/>
        <w:right w:val="none" w:sz="0" w:space="0" w:color="auto"/>
      </w:divBdr>
    </w:div>
    <w:div w:id="1814247851">
      <w:bodyDiv w:val="1"/>
      <w:marLeft w:val="0"/>
      <w:marRight w:val="0"/>
      <w:marTop w:val="0"/>
      <w:marBottom w:val="0"/>
      <w:divBdr>
        <w:top w:val="none" w:sz="0" w:space="0" w:color="auto"/>
        <w:left w:val="none" w:sz="0" w:space="0" w:color="auto"/>
        <w:bottom w:val="none" w:sz="0" w:space="0" w:color="auto"/>
        <w:right w:val="none" w:sz="0" w:space="0" w:color="auto"/>
      </w:divBdr>
    </w:div>
    <w:div w:id="1847329340">
      <w:bodyDiv w:val="1"/>
      <w:marLeft w:val="0"/>
      <w:marRight w:val="0"/>
      <w:marTop w:val="0"/>
      <w:marBottom w:val="0"/>
      <w:divBdr>
        <w:top w:val="none" w:sz="0" w:space="0" w:color="auto"/>
        <w:left w:val="none" w:sz="0" w:space="0" w:color="auto"/>
        <w:bottom w:val="none" w:sz="0" w:space="0" w:color="auto"/>
        <w:right w:val="none" w:sz="0" w:space="0" w:color="auto"/>
      </w:divBdr>
    </w:div>
    <w:div w:id="1919709360">
      <w:bodyDiv w:val="1"/>
      <w:marLeft w:val="0"/>
      <w:marRight w:val="0"/>
      <w:marTop w:val="0"/>
      <w:marBottom w:val="0"/>
      <w:divBdr>
        <w:top w:val="none" w:sz="0" w:space="0" w:color="auto"/>
        <w:left w:val="none" w:sz="0" w:space="0" w:color="auto"/>
        <w:bottom w:val="none" w:sz="0" w:space="0" w:color="auto"/>
        <w:right w:val="none" w:sz="0" w:space="0" w:color="auto"/>
      </w:divBdr>
    </w:div>
    <w:div w:id="2019891532">
      <w:bodyDiv w:val="1"/>
      <w:marLeft w:val="0"/>
      <w:marRight w:val="0"/>
      <w:marTop w:val="0"/>
      <w:marBottom w:val="0"/>
      <w:divBdr>
        <w:top w:val="none" w:sz="0" w:space="0" w:color="auto"/>
        <w:left w:val="none" w:sz="0" w:space="0" w:color="auto"/>
        <w:bottom w:val="none" w:sz="0" w:space="0" w:color="auto"/>
        <w:right w:val="none" w:sz="0" w:space="0" w:color="auto"/>
      </w:divBdr>
    </w:div>
    <w:div w:id="2102601509">
      <w:bodyDiv w:val="1"/>
      <w:marLeft w:val="0"/>
      <w:marRight w:val="0"/>
      <w:marTop w:val="0"/>
      <w:marBottom w:val="0"/>
      <w:divBdr>
        <w:top w:val="none" w:sz="0" w:space="0" w:color="auto"/>
        <w:left w:val="none" w:sz="0" w:space="0" w:color="auto"/>
        <w:bottom w:val="none" w:sz="0" w:space="0" w:color="auto"/>
        <w:right w:val="none" w:sz="0" w:space="0" w:color="auto"/>
      </w:divBdr>
    </w:div>
    <w:div w:id="2108193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925</Words>
  <Characters>5279</Characters>
  <Application>Microsoft Office Word</Application>
  <DocSecurity>0</DocSecurity>
  <Lines>43</Lines>
  <Paragraphs>12</Paragraphs>
  <ScaleCrop>false</ScaleCrop>
  <Company/>
  <LinksUpToDate>false</LinksUpToDate>
  <CharactersWithSpaces>6192</CharactersWithSpaces>
  <SharedDoc>false</SharedDoc>
  <HLinks>
    <vt:vector size="162" baseType="variant">
      <vt:variant>
        <vt:i4>1179699</vt:i4>
      </vt:variant>
      <vt:variant>
        <vt:i4>80</vt:i4>
      </vt:variant>
      <vt:variant>
        <vt:i4>0</vt:i4>
      </vt:variant>
      <vt:variant>
        <vt:i4>5</vt:i4>
      </vt:variant>
      <vt:variant>
        <vt:lpwstr/>
      </vt:variant>
      <vt:variant>
        <vt:lpwstr>_Toc7643</vt:lpwstr>
      </vt:variant>
      <vt:variant>
        <vt:i4>1966131</vt:i4>
      </vt:variant>
      <vt:variant>
        <vt:i4>77</vt:i4>
      </vt:variant>
      <vt:variant>
        <vt:i4>0</vt:i4>
      </vt:variant>
      <vt:variant>
        <vt:i4>5</vt:i4>
      </vt:variant>
      <vt:variant>
        <vt:lpwstr/>
      </vt:variant>
      <vt:variant>
        <vt:lpwstr>_Toc29106</vt:lpwstr>
      </vt:variant>
      <vt:variant>
        <vt:i4>1769520</vt:i4>
      </vt:variant>
      <vt:variant>
        <vt:i4>74</vt:i4>
      </vt:variant>
      <vt:variant>
        <vt:i4>0</vt:i4>
      </vt:variant>
      <vt:variant>
        <vt:i4>5</vt:i4>
      </vt:variant>
      <vt:variant>
        <vt:lpwstr/>
      </vt:variant>
      <vt:variant>
        <vt:lpwstr>_Toc8884</vt:lpwstr>
      </vt:variant>
      <vt:variant>
        <vt:i4>1376313</vt:i4>
      </vt:variant>
      <vt:variant>
        <vt:i4>71</vt:i4>
      </vt:variant>
      <vt:variant>
        <vt:i4>0</vt:i4>
      </vt:variant>
      <vt:variant>
        <vt:i4>5</vt:i4>
      </vt:variant>
      <vt:variant>
        <vt:lpwstr/>
      </vt:variant>
      <vt:variant>
        <vt:lpwstr>_Toc14869</vt:lpwstr>
      </vt:variant>
      <vt:variant>
        <vt:i4>1507381</vt:i4>
      </vt:variant>
      <vt:variant>
        <vt:i4>68</vt:i4>
      </vt:variant>
      <vt:variant>
        <vt:i4>0</vt:i4>
      </vt:variant>
      <vt:variant>
        <vt:i4>5</vt:i4>
      </vt:variant>
      <vt:variant>
        <vt:lpwstr/>
      </vt:variant>
      <vt:variant>
        <vt:lpwstr>_Toc28786</vt:lpwstr>
      </vt:variant>
      <vt:variant>
        <vt:i4>1441847</vt:i4>
      </vt:variant>
      <vt:variant>
        <vt:i4>65</vt:i4>
      </vt:variant>
      <vt:variant>
        <vt:i4>0</vt:i4>
      </vt:variant>
      <vt:variant>
        <vt:i4>5</vt:i4>
      </vt:variant>
      <vt:variant>
        <vt:lpwstr/>
      </vt:variant>
      <vt:variant>
        <vt:lpwstr>_Toc32434</vt:lpwstr>
      </vt:variant>
      <vt:variant>
        <vt:i4>1048631</vt:i4>
      </vt:variant>
      <vt:variant>
        <vt:i4>62</vt:i4>
      </vt:variant>
      <vt:variant>
        <vt:i4>0</vt:i4>
      </vt:variant>
      <vt:variant>
        <vt:i4>5</vt:i4>
      </vt:variant>
      <vt:variant>
        <vt:lpwstr/>
      </vt:variant>
      <vt:variant>
        <vt:lpwstr>_Toc24532</vt:lpwstr>
      </vt:variant>
      <vt:variant>
        <vt:i4>1376314</vt:i4>
      </vt:variant>
      <vt:variant>
        <vt:i4>59</vt:i4>
      </vt:variant>
      <vt:variant>
        <vt:i4>0</vt:i4>
      </vt:variant>
      <vt:variant>
        <vt:i4>5</vt:i4>
      </vt:variant>
      <vt:variant>
        <vt:lpwstr/>
      </vt:variant>
      <vt:variant>
        <vt:lpwstr>_Toc2183</vt:lpwstr>
      </vt:variant>
      <vt:variant>
        <vt:i4>1900597</vt:i4>
      </vt:variant>
      <vt:variant>
        <vt:i4>56</vt:i4>
      </vt:variant>
      <vt:variant>
        <vt:i4>0</vt:i4>
      </vt:variant>
      <vt:variant>
        <vt:i4>5</vt:i4>
      </vt:variant>
      <vt:variant>
        <vt:lpwstr/>
      </vt:variant>
      <vt:variant>
        <vt:lpwstr>_Toc22784</vt:lpwstr>
      </vt:variant>
      <vt:variant>
        <vt:i4>1376310</vt:i4>
      </vt:variant>
      <vt:variant>
        <vt:i4>53</vt:i4>
      </vt:variant>
      <vt:variant>
        <vt:i4>0</vt:i4>
      </vt:variant>
      <vt:variant>
        <vt:i4>5</vt:i4>
      </vt:variant>
      <vt:variant>
        <vt:lpwstr/>
      </vt:variant>
      <vt:variant>
        <vt:lpwstr>_Toc3250</vt:lpwstr>
      </vt:variant>
      <vt:variant>
        <vt:i4>1966131</vt:i4>
      </vt:variant>
      <vt:variant>
        <vt:i4>50</vt:i4>
      </vt:variant>
      <vt:variant>
        <vt:i4>0</vt:i4>
      </vt:variant>
      <vt:variant>
        <vt:i4>5</vt:i4>
      </vt:variant>
      <vt:variant>
        <vt:lpwstr/>
      </vt:variant>
      <vt:variant>
        <vt:lpwstr>_Toc11283</vt:lpwstr>
      </vt:variant>
      <vt:variant>
        <vt:i4>1376305</vt:i4>
      </vt:variant>
      <vt:variant>
        <vt:i4>47</vt:i4>
      </vt:variant>
      <vt:variant>
        <vt:i4>0</vt:i4>
      </vt:variant>
      <vt:variant>
        <vt:i4>5</vt:i4>
      </vt:variant>
      <vt:variant>
        <vt:lpwstr/>
      </vt:variant>
      <vt:variant>
        <vt:lpwstr>_Toc8391</vt:lpwstr>
      </vt:variant>
      <vt:variant>
        <vt:i4>2424834</vt:i4>
      </vt:variant>
      <vt:variant>
        <vt:i4>44</vt:i4>
      </vt:variant>
      <vt:variant>
        <vt:i4>0</vt:i4>
      </vt:variant>
      <vt:variant>
        <vt:i4>5</vt:i4>
      </vt:variant>
      <vt:variant>
        <vt:lpwstr/>
      </vt:variant>
      <vt:variant>
        <vt:lpwstr>_Toc227</vt:lpwstr>
      </vt:variant>
      <vt:variant>
        <vt:i4>1179700</vt:i4>
      </vt:variant>
      <vt:variant>
        <vt:i4>41</vt:i4>
      </vt:variant>
      <vt:variant>
        <vt:i4>0</vt:i4>
      </vt:variant>
      <vt:variant>
        <vt:i4>5</vt:i4>
      </vt:variant>
      <vt:variant>
        <vt:lpwstr/>
      </vt:variant>
      <vt:variant>
        <vt:lpwstr>_Toc14519</vt:lpwstr>
      </vt:variant>
      <vt:variant>
        <vt:i4>1048626</vt:i4>
      </vt:variant>
      <vt:variant>
        <vt:i4>38</vt:i4>
      </vt:variant>
      <vt:variant>
        <vt:i4>0</vt:i4>
      </vt:variant>
      <vt:variant>
        <vt:i4>5</vt:i4>
      </vt:variant>
      <vt:variant>
        <vt:lpwstr/>
      </vt:variant>
      <vt:variant>
        <vt:lpwstr>_Toc1235</vt:lpwstr>
      </vt:variant>
      <vt:variant>
        <vt:i4>2031668</vt:i4>
      </vt:variant>
      <vt:variant>
        <vt:i4>35</vt:i4>
      </vt:variant>
      <vt:variant>
        <vt:i4>0</vt:i4>
      </vt:variant>
      <vt:variant>
        <vt:i4>5</vt:i4>
      </vt:variant>
      <vt:variant>
        <vt:lpwstr/>
      </vt:variant>
      <vt:variant>
        <vt:lpwstr>_Toc5810</vt:lpwstr>
      </vt:variant>
      <vt:variant>
        <vt:i4>1507383</vt:i4>
      </vt:variant>
      <vt:variant>
        <vt:i4>32</vt:i4>
      </vt:variant>
      <vt:variant>
        <vt:i4>0</vt:i4>
      </vt:variant>
      <vt:variant>
        <vt:i4>5</vt:i4>
      </vt:variant>
      <vt:variant>
        <vt:lpwstr/>
      </vt:variant>
      <vt:variant>
        <vt:lpwstr>_Toc21518</vt:lpwstr>
      </vt:variant>
      <vt:variant>
        <vt:i4>1048635</vt:i4>
      </vt:variant>
      <vt:variant>
        <vt:i4>29</vt:i4>
      </vt:variant>
      <vt:variant>
        <vt:i4>0</vt:i4>
      </vt:variant>
      <vt:variant>
        <vt:i4>5</vt:i4>
      </vt:variant>
      <vt:variant>
        <vt:lpwstr/>
      </vt:variant>
      <vt:variant>
        <vt:lpwstr>_Toc30870</vt:lpwstr>
      </vt:variant>
      <vt:variant>
        <vt:i4>1114161</vt:i4>
      </vt:variant>
      <vt:variant>
        <vt:i4>26</vt:i4>
      </vt:variant>
      <vt:variant>
        <vt:i4>0</vt:i4>
      </vt:variant>
      <vt:variant>
        <vt:i4>5</vt:i4>
      </vt:variant>
      <vt:variant>
        <vt:lpwstr/>
      </vt:variant>
      <vt:variant>
        <vt:lpwstr>_Toc20360</vt:lpwstr>
      </vt:variant>
      <vt:variant>
        <vt:i4>1507383</vt:i4>
      </vt:variant>
      <vt:variant>
        <vt:i4>23</vt:i4>
      </vt:variant>
      <vt:variant>
        <vt:i4>0</vt:i4>
      </vt:variant>
      <vt:variant>
        <vt:i4>5</vt:i4>
      </vt:variant>
      <vt:variant>
        <vt:lpwstr/>
      </vt:variant>
      <vt:variant>
        <vt:lpwstr>_Toc26564</vt:lpwstr>
      </vt:variant>
      <vt:variant>
        <vt:i4>1310771</vt:i4>
      </vt:variant>
      <vt:variant>
        <vt:i4>20</vt:i4>
      </vt:variant>
      <vt:variant>
        <vt:i4>0</vt:i4>
      </vt:variant>
      <vt:variant>
        <vt:i4>5</vt:i4>
      </vt:variant>
      <vt:variant>
        <vt:lpwstr/>
      </vt:variant>
      <vt:variant>
        <vt:lpwstr>_Toc13201</vt:lpwstr>
      </vt:variant>
      <vt:variant>
        <vt:i4>1114160</vt:i4>
      </vt:variant>
      <vt:variant>
        <vt:i4>17</vt:i4>
      </vt:variant>
      <vt:variant>
        <vt:i4>0</vt:i4>
      </vt:variant>
      <vt:variant>
        <vt:i4>5</vt:i4>
      </vt:variant>
      <vt:variant>
        <vt:lpwstr/>
      </vt:variant>
      <vt:variant>
        <vt:lpwstr>_Toc12142</vt:lpwstr>
      </vt:variant>
      <vt:variant>
        <vt:i4>1245233</vt:i4>
      </vt:variant>
      <vt:variant>
        <vt:i4>14</vt:i4>
      </vt:variant>
      <vt:variant>
        <vt:i4>0</vt:i4>
      </vt:variant>
      <vt:variant>
        <vt:i4>5</vt:i4>
      </vt:variant>
      <vt:variant>
        <vt:lpwstr/>
      </vt:variant>
      <vt:variant>
        <vt:lpwstr>_Toc25314</vt:lpwstr>
      </vt:variant>
      <vt:variant>
        <vt:i4>1638449</vt:i4>
      </vt:variant>
      <vt:variant>
        <vt:i4>11</vt:i4>
      </vt:variant>
      <vt:variant>
        <vt:i4>0</vt:i4>
      </vt:variant>
      <vt:variant>
        <vt:i4>5</vt:i4>
      </vt:variant>
      <vt:variant>
        <vt:lpwstr/>
      </vt:variant>
      <vt:variant>
        <vt:lpwstr>_Toc29374</vt:lpwstr>
      </vt:variant>
      <vt:variant>
        <vt:i4>1507383</vt:i4>
      </vt:variant>
      <vt:variant>
        <vt:i4>8</vt:i4>
      </vt:variant>
      <vt:variant>
        <vt:i4>0</vt:i4>
      </vt:variant>
      <vt:variant>
        <vt:i4>5</vt:i4>
      </vt:variant>
      <vt:variant>
        <vt:lpwstr/>
      </vt:variant>
      <vt:variant>
        <vt:lpwstr>_Toc2151</vt:lpwstr>
      </vt:variant>
      <vt:variant>
        <vt:i4>1114166</vt:i4>
      </vt:variant>
      <vt:variant>
        <vt:i4>5</vt:i4>
      </vt:variant>
      <vt:variant>
        <vt:i4>0</vt:i4>
      </vt:variant>
      <vt:variant>
        <vt:i4>5</vt:i4>
      </vt:variant>
      <vt:variant>
        <vt:lpwstr/>
      </vt:variant>
      <vt:variant>
        <vt:lpwstr>_Toc30567</vt:lpwstr>
      </vt:variant>
      <vt:variant>
        <vt:i4>1310768</vt:i4>
      </vt:variant>
      <vt:variant>
        <vt:i4>2</vt:i4>
      </vt:variant>
      <vt:variant>
        <vt:i4>0</vt:i4>
      </vt:variant>
      <vt:variant>
        <vt:i4>5</vt:i4>
      </vt:variant>
      <vt:variant>
        <vt:lpwstr/>
      </vt:variant>
      <vt:variant>
        <vt:lpwstr>_Toc32314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11</cp:revision>
  <dcterms:created xsi:type="dcterms:W3CDTF">2020-09-08T14:04:00Z</dcterms:created>
  <dcterms:modified xsi:type="dcterms:W3CDTF">2020-10-15T03:18:00Z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