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新疆喀什地区麦盖提县市场监督管理局2019年度部门决算公开说明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1、贯彻执行工商行政管理、食品药品监督管理、质量技术监督等方面的法律、法规、规章和政策；拟订（或制定）并组织实施有关市场监管的规范性文件和政策、措施。</w:t>
      </w:r>
    </w:p>
    <w:p>
      <w:pPr>
        <w:ind w:firstLine="480"/>
        <w:jc w:val="both"/>
      </w:pPr>
      <w:r>
        <w:rPr>
          <w:rFonts w:ascii="仿宋_GB2312" w:hAnsi="仿宋_GB2312" w:cs="仿宋_GB2312" w:eastAsia="仿宋_GB2312"/>
          <w:b w:val="false"/>
          <w:sz w:val="32"/>
        </w:rPr>
        <w:t>2、拟订并组织实施市场监管事业发展规划和技术机构建设规划；组织拟订并协调推进食品安全规划；组织推进质量振兴工作；组织实施商标战略和名牌战略；组织实施质量奖励制度；研究分析区域产品质量状况；参与制定商品交易市场发展规划。</w:t>
      </w:r>
    </w:p>
    <w:p>
      <w:pPr>
        <w:ind w:firstLine="480"/>
        <w:jc w:val="both"/>
      </w:pPr>
      <w:r>
        <w:rPr>
          <w:rFonts w:ascii="仿宋_GB2312" w:hAnsi="仿宋_GB2312" w:cs="仿宋_GB2312" w:eastAsia="仿宋_GB2312"/>
          <w:b w:val="false"/>
          <w:sz w:val="32"/>
        </w:rPr>
        <w:t>3、承担县食品安全委员会办公室的日常工作；负责食品安全监督管理综合协调，健全协调联动机制；督促县级有关部门和镇（街道）履行食品安全监督管理职责，并负责检查、考核评价工作。</w:t>
      </w:r>
    </w:p>
    <w:p>
      <w:pPr>
        <w:ind w:firstLine="480"/>
        <w:jc w:val="both"/>
      </w:pPr>
      <w:r>
        <w:rPr>
          <w:rFonts w:ascii="仿宋_GB2312" w:hAnsi="仿宋_GB2312" w:cs="仿宋_GB2312" w:eastAsia="仿宋_GB2312"/>
          <w:b w:val="false"/>
          <w:sz w:val="32"/>
        </w:rPr>
        <w:t>4、负责食品安全应急体系和能力建设，组织拟订食品安全应急预案；牵头食品安全重大事故调查工作，组织、指导并监督食品安全突发事件调查处置工作；负责统一发布重大食品安全信息。</w:t>
      </w:r>
    </w:p>
    <w:p>
      <w:pPr>
        <w:ind w:firstLine="480"/>
        <w:jc w:val="both"/>
      </w:pPr>
      <w:r>
        <w:rPr>
          <w:rFonts w:ascii="仿宋_GB2312" w:hAnsi="仿宋_GB2312" w:cs="仿宋_GB2312" w:eastAsia="仿宋_GB2312"/>
          <w:b w:val="false"/>
          <w:sz w:val="32"/>
        </w:rPr>
        <w:t>5、负责涉及工商行政管理、食品药品监督管理、质量技术监督方面的各类行政审批工作，并依法监管。</w:t>
      </w:r>
    </w:p>
    <w:p>
      <w:pPr>
        <w:ind w:firstLine="480"/>
        <w:jc w:val="both"/>
      </w:pPr>
      <w:r>
        <w:rPr>
          <w:rFonts w:ascii="仿宋_GB2312" w:hAnsi="仿宋_GB2312" w:cs="仿宋_GB2312" w:eastAsia="仿宋_GB2312"/>
          <w:b w:val="false"/>
          <w:sz w:val="32"/>
        </w:rPr>
        <w:t>6、负责市场和网络交易行为及有关服务行为的监督管理，依法规范和维护市场经营秩序；依法监管经纪人、经纪机构及经纪活动；负责直销企业和直销人员及其直销活动的监督管理；负责拍卖行为的监督管理。</w:t>
      </w:r>
    </w:p>
    <w:p>
      <w:pPr>
        <w:ind w:firstLine="480"/>
        <w:jc w:val="both"/>
      </w:pPr>
      <w:r>
        <w:rPr>
          <w:rFonts w:ascii="仿宋_GB2312" w:hAnsi="仿宋_GB2312" w:cs="仿宋_GB2312" w:eastAsia="仿宋_GB2312"/>
          <w:b w:val="false"/>
          <w:sz w:val="32"/>
        </w:rPr>
        <w:t>7、负责流通领域商品质量监管，开展有关服务领域消费维权工作，承担消费者权益保护责任，建立消费者权益保护体系。</w:t>
      </w:r>
    </w:p>
    <w:p>
      <w:pPr>
        <w:ind w:firstLine="480"/>
        <w:jc w:val="both"/>
      </w:pPr>
      <w:r>
        <w:rPr>
          <w:rFonts w:ascii="仿宋_GB2312" w:hAnsi="仿宋_GB2312" w:cs="仿宋_GB2312" w:eastAsia="仿宋_GB2312"/>
          <w:b w:val="false"/>
          <w:sz w:val="32"/>
        </w:rPr>
        <w:t>8、组织实施合同行政监督管理和消费类格式合同条款备案，规范合同行为；负责动产抵押物登记管理。9、负责商标的监督管理；依法保护商标专用权；推荐省著名商标、市知名商标，组织认定县名牌商标；依法保护特殊标志、官方标志；负责地理标志产品日常监督管理工作。</w:t>
      </w:r>
    </w:p>
    <w:p>
      <w:pPr>
        <w:ind w:firstLine="480"/>
        <w:jc w:val="both"/>
      </w:pPr>
      <w:r>
        <w:rPr>
          <w:rFonts w:ascii="仿宋_GB2312" w:hAnsi="仿宋_GB2312" w:cs="仿宋_GB2312" w:eastAsia="仿宋_GB2312"/>
          <w:b w:val="false"/>
          <w:sz w:val="32"/>
        </w:rPr>
        <w:t>10、指导广告业发展，负责广告活动的监督管理。</w:t>
      </w:r>
    </w:p>
    <w:p>
      <w:pPr>
        <w:ind w:firstLine="480"/>
        <w:jc w:val="both"/>
      </w:pPr>
      <w:r>
        <w:rPr>
          <w:rFonts w:ascii="仿宋_GB2312" w:hAnsi="仿宋_GB2312" w:cs="仿宋_GB2312" w:eastAsia="仿宋_GB2312"/>
          <w:b w:val="false"/>
          <w:sz w:val="32"/>
        </w:rPr>
        <w:t>11、负责组织开展企业信用体系建设，实施信用分类监管；组织开展企业、个体工商户、农民专业合作社、商品交易市场的年度报告和信用信息公示，并对公示信息实施监督管理；发布市场主体登记注册基础信息。</w:t>
      </w:r>
    </w:p>
    <w:p>
      <w:pPr>
        <w:ind w:firstLine="480"/>
        <w:jc w:val="both"/>
      </w:pPr>
      <w:r>
        <w:rPr>
          <w:rFonts w:ascii="仿宋_GB2312" w:hAnsi="仿宋_GB2312" w:cs="仿宋_GB2312" w:eastAsia="仿宋_GB2312"/>
          <w:b w:val="false"/>
          <w:sz w:val="32"/>
        </w:rPr>
        <w:t>12、负责食品及食品相关产品生产加工、流通和餐饮环节的监督管理；组织处置食品安全突发事件；负责对生产加工环节不安全食品的召回、餐饮环节实施餐饮食品安全标准和管理规范的情况进行监督；负责对流通环节的食品质量进行监测。</w:t>
      </w:r>
    </w:p>
    <w:p>
      <w:pPr>
        <w:ind w:firstLine="480"/>
        <w:jc w:val="both"/>
      </w:pPr>
      <w:r>
        <w:rPr>
          <w:rFonts w:ascii="仿宋_GB2312" w:hAnsi="仿宋_GB2312" w:cs="仿宋_GB2312" w:eastAsia="仿宋_GB2312"/>
          <w:b w:val="false"/>
          <w:sz w:val="32"/>
        </w:rPr>
        <w:t>13、负责保健食品、化妆品生产、经营的监督管理；监督实施保健食品生产和经营质量管理规范、化妆品标准和技术规范；组织实施保健食品和化妆品安全性检测和评价、不良反应监测；负责保健食品、化妆品突发安全事故的应急处置。</w:t>
      </w:r>
    </w:p>
    <w:p>
      <w:pPr>
        <w:ind w:firstLine="480"/>
        <w:jc w:val="both"/>
      </w:pPr>
      <w:r>
        <w:rPr>
          <w:rFonts w:ascii="仿宋_GB2312" w:hAnsi="仿宋_GB2312" w:cs="仿宋_GB2312" w:eastAsia="仿宋_GB2312"/>
          <w:b w:val="false"/>
          <w:sz w:val="32"/>
        </w:rPr>
        <w:t>14、负责药品研制、生产的监督管理；监督实施国家药品标准、分类管理制度；监督实施药品研制和生产质量管理规范；配合有关部门实施国家基本药物制度；组织开展药品不良反应监测；负责突发性药品安全事故的应急处置和不安全药品召回的监督。</w:t>
      </w:r>
    </w:p>
    <w:p>
      <w:pPr>
        <w:ind w:firstLine="480"/>
        <w:jc w:val="both"/>
      </w:pPr>
      <w:r>
        <w:rPr>
          <w:rFonts w:ascii="仿宋_GB2312" w:hAnsi="仿宋_GB2312" w:cs="仿宋_GB2312" w:eastAsia="仿宋_GB2312"/>
          <w:b w:val="false"/>
          <w:sz w:val="32"/>
        </w:rPr>
        <w:t>15、负责药品流通的监督管理；实施药品经营质量管理规范；负责医疗机构使用药品的质量监管；组织实施处方药和非处方药分类管理制度。</w:t>
      </w:r>
    </w:p>
    <w:p>
      <w:pPr>
        <w:ind w:firstLine="480"/>
        <w:jc w:val="both"/>
      </w:pPr>
      <w:r>
        <w:rPr>
          <w:rFonts w:ascii="仿宋_GB2312" w:hAnsi="仿宋_GB2312" w:cs="仿宋_GB2312" w:eastAsia="仿宋_GB2312"/>
          <w:b w:val="false"/>
          <w:sz w:val="32"/>
        </w:rPr>
        <w:t>16、负责医疗器械研制、生产、经营、使用的监督管理；监督实施医疗器械标准和相关质量管理规范；组织开展医疗器械不良事件监测；负责突发性医疗器械安全事故的应急处置。</w:t>
      </w:r>
    </w:p>
    <w:p>
      <w:pPr>
        <w:ind w:firstLine="480"/>
        <w:jc w:val="both"/>
      </w:pPr>
      <w:r>
        <w:rPr>
          <w:rFonts w:ascii="仿宋_GB2312" w:hAnsi="仿宋_GB2312" w:cs="仿宋_GB2312" w:eastAsia="仿宋_GB2312"/>
          <w:b w:val="false"/>
          <w:sz w:val="32"/>
        </w:rPr>
        <w:t>17、组织实施中药、民族药监督管理规范和质量标准；监督实施中药材生产质量管理规范、中药饮片炮制规范，组织实施中药品种保护制度；监督管理城乡集贸市场的中药材交易；负责麻醉药品、精神药品、医疗用毒性药品、放射性药品及戒毒药品的监督管理。</w:t>
      </w:r>
    </w:p>
    <w:p>
      <w:pPr>
        <w:ind w:firstLine="480"/>
        <w:jc w:val="both"/>
      </w:pPr>
      <w:r>
        <w:rPr>
          <w:rFonts w:ascii="仿宋_GB2312" w:hAnsi="仿宋_GB2312" w:cs="仿宋_GB2312" w:eastAsia="仿宋_GB2312"/>
          <w:b w:val="false"/>
          <w:sz w:val="32"/>
        </w:rPr>
        <w:t>18、负责食品、药品、医疗器械、化妆品的质量监督；指导全县食品药品检验检测机构的业务工作；负责执业药师注册和管理工作；组织实施食品、药品、医疗器械、保健食品、化妆品从业人员职业资格准入制度。</w:t>
      </w:r>
    </w:p>
    <w:p>
      <w:pPr>
        <w:ind w:firstLine="480"/>
        <w:jc w:val="both"/>
      </w:pPr>
      <w:r>
        <w:rPr>
          <w:rFonts w:ascii="仿宋_GB2312" w:hAnsi="仿宋_GB2312" w:cs="仿宋_GB2312" w:eastAsia="仿宋_GB2312"/>
          <w:b w:val="false"/>
          <w:sz w:val="32"/>
        </w:rPr>
        <w:t>19、负责标准化工作。组织协调和指导推动全县各部门、各行业的标准化工作；依法组织制定地方标准规范；依法监督标准的实施；按照规定承担应对技术性贸易壁垒工作；管理全县组织机构代码和商品编码工作；负责地理标志产品日常监督管理工作。</w:t>
      </w:r>
    </w:p>
    <w:p>
      <w:pPr>
        <w:ind w:firstLine="480"/>
        <w:jc w:val="both"/>
      </w:pPr>
      <w:r>
        <w:rPr>
          <w:rFonts w:ascii="仿宋_GB2312" w:hAnsi="仿宋_GB2312" w:cs="仿宋_GB2312" w:eastAsia="仿宋_GB2312"/>
          <w:b w:val="false"/>
          <w:sz w:val="32"/>
        </w:rPr>
        <w:t>20、负责计量工作。组织推行法定计量单位和国家计量制度；依法管理全县计量器具及量值传递和比对工作；负责规范和监督全县商品计量和市场计量行为；负责本辖区能效标识的监督管理。</w:t>
      </w:r>
    </w:p>
    <w:p>
      <w:pPr>
        <w:ind w:firstLine="480"/>
        <w:jc w:val="both"/>
      </w:pPr>
      <w:r>
        <w:rPr>
          <w:rFonts w:ascii="仿宋_GB2312" w:hAnsi="仿宋_GB2312" w:cs="仿宋_GB2312" w:eastAsia="仿宋_GB2312"/>
          <w:b w:val="false"/>
          <w:sz w:val="32"/>
        </w:rPr>
        <w:t>21、负责合格评定工作。依法负责检验机构及其检验服务活动的监督管理工作；规范和监督认证市场行为；监督管理产品防伪工作。</w:t>
      </w:r>
    </w:p>
    <w:p>
      <w:pPr>
        <w:ind w:firstLine="480"/>
        <w:jc w:val="both"/>
      </w:pPr>
      <w:r>
        <w:rPr>
          <w:rFonts w:ascii="仿宋_GB2312" w:hAnsi="仿宋_GB2312" w:cs="仿宋_GB2312" w:eastAsia="仿宋_GB2312"/>
          <w:b w:val="false"/>
          <w:sz w:val="32"/>
        </w:rPr>
        <w:t>22、负责产品质量监督工作。制定并组织实施全县产品质量监督相关政策、措施；组织产品质量预警、监测工作；管理产品质量监督检查工作；负责本辖区纤维质量监督检查工作；受委托组织协调一般产品质量事故的调查处理；组织实施缺陷产品召回制度；负责全县工业产品生产许可证的监督管理，推进实施国家相关产业政策。</w:t>
      </w:r>
    </w:p>
    <w:p>
      <w:pPr>
        <w:ind w:firstLine="480"/>
        <w:jc w:val="both"/>
      </w:pPr>
      <w:r>
        <w:rPr>
          <w:rFonts w:ascii="仿宋_GB2312" w:hAnsi="仿宋_GB2312" w:cs="仿宋_GB2312" w:eastAsia="仿宋_GB2312"/>
          <w:b w:val="false"/>
          <w:sz w:val="32"/>
        </w:rPr>
        <w:t>23、负责特种设备的安全监察监督工作。承担特种设备安全宣传教育工作；依法对特种设备进行安全监察；依法对特种设备生产、经营、使用单位和检验、检测机构实施监督检查；按规定报告特种设备事故，配合特种设备事故的调查处理；按规定承担特种设备作业人员资格考核相关工作；负责高耗能特种设备节能标准执行情况的监督检查。</w:t>
      </w:r>
    </w:p>
    <w:p>
      <w:pPr>
        <w:ind w:firstLine="480"/>
        <w:jc w:val="both"/>
      </w:pPr>
      <w:r>
        <w:rPr>
          <w:rFonts w:ascii="仿宋_GB2312" w:hAnsi="仿宋_GB2312" w:cs="仿宋_GB2312" w:eastAsia="仿宋_GB2312"/>
          <w:b w:val="false"/>
          <w:sz w:val="32"/>
        </w:rPr>
        <w:t>24、负责涉及工商行政管理、食品药品监督管理、质量技术监督的投诉和举报的处理；依法查处违反工商行政管理、食品药品监督管理、质量技术监督法律、法规、规章的行为</w:t>
      </w:r>
    </w:p>
    <w:p>
      <w:pPr>
        <w:ind w:firstLine="480"/>
        <w:jc w:val="both"/>
      </w:pPr>
      <w:r>
        <w:rPr>
          <w:rFonts w:ascii="仿宋_GB2312" w:hAnsi="仿宋_GB2312" w:cs="仿宋_GB2312" w:eastAsia="仿宋_GB2312"/>
          <w:b w:val="false"/>
          <w:sz w:val="32"/>
        </w:rPr>
        <w:t>25、指导与工商行政管理、食品药品监督管理、质量技术监督业务相关社会团体的工作。</w:t>
      </w:r>
    </w:p>
    <w:p>
      <w:pPr>
        <w:ind w:firstLine="480"/>
        <w:jc w:val="both"/>
      </w:pPr>
      <w:r>
        <w:rPr>
          <w:rFonts w:ascii="仿宋_GB2312" w:hAnsi="仿宋_GB2312" w:cs="仿宋_GB2312" w:eastAsia="仿宋_GB2312"/>
          <w:b w:val="false"/>
          <w:sz w:val="32"/>
        </w:rPr>
        <w:t>26、承办承办县委、县政府和上级业务部门交办的其他事项。</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新疆喀什地区麦盖提县市场监督管理局2019年度，实有人数108人，其中：在职人员70人，离休人员0人，退休人员38人。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从部门决算单位构成看，新疆喀什地区麦盖提县市场监督管理局部门决算包括：新疆喀什地区麦盖提县市场监督管理局决算。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1,066.16万元，与上年相比，增加76.56万元，增长7.74%，主要原因是：上级专项资金较去年增加。本年支出1,038.16万元，与上年相比，增加48.56万元，增长4.91%，主要原因是：上级专项资金较去年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2019年度本年收入1,066.16万元，其中：财政拨款收入1,038.16万元，占97.37%；上级补助收入0万元，占0%；事业收入0万元，占0%；经营收入0万元，占0%；附属单位上缴收入0万元，占0%；其他收入28万元，占2.63%。</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2019年度本年支出1,038.16万元，其中：基本支出991.39万元，占95.49%；项目支出46.77万元，占4.51%；上缴上级支出0万元，占0%；经营支出0万元，占0%；对附属单位补助支出0万元，占0%。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1,038.16万元，与上年相比，增加83.48万元，增长8.74%，主要原因是：上级专项资金较去年增加。财政拨款支出1,038.16万元，与上年相比，增加83.48万元，增长8.74%，主要原因是：上级专项资金较去年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1,150.46万元，决算数1,038.16万元，预决算差异率-9.76%，主要原因是：在职人员减少8人，部分指标未使用，因此决算数小于年初预算数。财政拨款支出年初预算数1,150.46万元，决算数1,038.16万元，预决算差异率-9.76%，主要原因是：在职人员减少8人，部分指标未使用，因此决算数小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2019年度一般公共预算财政拨款支出1,038.16万元。按功能分类科目项级科目公开，其中：</w:t>
      </w:r>
    </w:p>
    <w:p>
      <w:pPr>
        <w:ind w:firstLine="480"/>
        <w:jc w:val="both"/>
      </w:pPr>
      <w:r>
        <w:rPr>
          <w:rFonts w:ascii="仿宋_GB2312" w:hAnsi="仿宋_GB2312" w:cs="仿宋_GB2312" w:eastAsia="仿宋_GB2312"/>
          <w:b w:val="false"/>
          <w:sz w:val="32"/>
        </w:rPr>
        <w:t xml:space="preserve">   2013801行政运行支出815.68万元；</w:t>
      </w:r>
    </w:p>
    <w:p>
      <w:pPr>
        <w:ind w:firstLine="480"/>
        <w:jc w:val="both"/>
      </w:pPr>
      <w:r>
        <w:rPr>
          <w:rFonts w:ascii="仿宋_GB2312" w:hAnsi="仿宋_GB2312" w:cs="仿宋_GB2312" w:eastAsia="仿宋_GB2312"/>
          <w:b w:val="false"/>
          <w:sz w:val="32"/>
        </w:rPr>
        <w:t xml:space="preserve">   2013804市场监督管理专项支出1.85万元；</w:t>
      </w:r>
    </w:p>
    <w:p>
      <w:pPr>
        <w:ind w:firstLine="480"/>
        <w:jc w:val="both"/>
      </w:pPr>
      <w:r>
        <w:rPr>
          <w:rFonts w:ascii="仿宋_GB2312" w:hAnsi="仿宋_GB2312" w:cs="仿宋_GB2312" w:eastAsia="仿宋_GB2312"/>
          <w:b w:val="false"/>
          <w:sz w:val="32"/>
        </w:rPr>
        <w:t xml:space="preserve">   2013899其他市场监督管理事务支出44.92万元；</w:t>
      </w:r>
    </w:p>
    <w:p>
      <w:pPr>
        <w:ind w:firstLine="480"/>
        <w:jc w:val="both"/>
      </w:pPr>
      <w:r>
        <w:rPr>
          <w:rFonts w:ascii="仿宋_GB2312" w:hAnsi="仿宋_GB2312" w:cs="仿宋_GB2312" w:eastAsia="仿宋_GB2312"/>
          <w:b w:val="false"/>
          <w:sz w:val="32"/>
        </w:rPr>
        <w:t xml:space="preserve">   2080505机关事业单位基本养老保险缴费支出98.33万元；</w:t>
      </w:r>
    </w:p>
    <w:p>
      <w:pPr>
        <w:ind w:firstLine="480"/>
        <w:jc w:val="both"/>
      </w:pPr>
      <w:r>
        <w:rPr>
          <w:rFonts w:ascii="仿宋_GB2312" w:hAnsi="仿宋_GB2312" w:cs="仿宋_GB2312" w:eastAsia="仿宋_GB2312"/>
          <w:b w:val="false"/>
          <w:sz w:val="32"/>
        </w:rPr>
        <w:t xml:space="preserve">   2080506机关事业单位职业年金缴费支出3.61万元；</w:t>
      </w:r>
    </w:p>
    <w:p>
      <w:pPr>
        <w:ind w:firstLine="480"/>
        <w:jc w:val="both"/>
      </w:pPr>
      <w:r>
        <w:rPr>
          <w:rFonts w:ascii="仿宋_GB2312" w:hAnsi="仿宋_GB2312" w:cs="仿宋_GB2312" w:eastAsia="仿宋_GB2312"/>
          <w:b w:val="false"/>
          <w:sz w:val="32"/>
        </w:rPr>
        <w:t xml:space="preserve">   2210201住房公积金支出73.78万元。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2019年度一般公共预算财政拨款基本支出991.39万元，其中：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953.69万元，包括：基本工资、津贴补贴、奖金、机关事业单位基本养老保险缴费、职业年金缴费、职工基本医疗保险缴费、公务员医疗补助缴费、其他社会保障缴费、住房公积金、退休费、抚恤金、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公用经费37.70万元，包括：办公费、印刷费、水费、电费、邮电费、取暖费、差旅费、维修（护）费、劳务费、公务用车运行维护费、其他商品和服务支出。</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5.93万元，比上年减少0.31万元，降低4.97%，主要原因是厉行节约，压缩“三公”经费开支。其中，因公出国（境）费支出0万元，占0%，比上年增加0万元，增长0%，主要原因是与上年相比无变动，与上年一致；公务用车购置及运行维护费支出5.93万元，占100%，比上年减少0.31万元，降低4.97%，主要原因是厉行节约，压缩“三公”经费开支；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因公出国（境）费支出0万元，开支内容包括：预算未安排，无此项开支。单位全年安排的因公出国（境）团组0个，因公出国（境）0人次。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公务用车购置及运行维护费5.93万元，其中，公务用车购置费0万元，公务用车运行维护费5.93万元。公务用车运行维护费开支内容包括汽车油料、维护费保险费。公务用车购置数0辆，公务用车保有量8辆。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公务接待费0万元，开支内容包括预算未安排，无此项开支。单位全年安排的国内公务接待0批次，0人次。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6.24万元，决算数5.93万元，预决算差异率-4.97%，主要原因是：厉行节约，压缩“三公”经费开支，实际产生的车辆运行维护费小于年初预算，因此部分指标未使用，决算数小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6.24万元，决算数5.93万元，预决算差异率-4.97%，主要原因是：厉行节约，压缩“三公”经费开支，实际产生的车辆运行维护费小于年初预算，因此部分指标未使用，决算数小于年初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2019年度新疆喀什地区麦盖提县市场监督管理局机关运行经费支出37.70万元，比上年减少1.32万元，降低3.38%，主要原因是厉行节约，压缩日常公用开支。</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2019年度政府采购支出总额29.33万元，其中：政府采购货物支出0万元、政府采购工程支出0万元、政府采购服务支出29.33万元。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授予中小企业合同金额29.33万元，占政府采购支出总额的100%，其中：授予小微企业合同金额29.33万元，占政府采购支出总额的100%。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9,009.85（平方米），价值847.50万元。车辆8辆，价值216.83万元，其中：副部（省）级及以上领导用车0辆、主要领导干部用车0辆、机要通信用车0辆、应急保障用车0辆、执法执勤用车5辆、特种专业技术用车0辆、离退休干部用车0辆、其他用车3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2个，共涉及资金44.93万元。预算绩效管理取得的成效：1、食品监督抽检服务：进行政府集中采购，中标单位依据中标通知书和委托单位签订《食品安全抽样检验任务委托书》进行第三方抽样化验检测服务，完成了全县食用农产品409批次的抽检任务，达到检测全县食用农产品安全食用的目的。2、液化气钢瓶用气电子监管平台服务：麦盖提县市场监督管理局承担155950元，监管硬件、用户用气瓶电子标签、IC卡、县级平台租赁费等。发现的问题及原因：（1）前瞻性性意识不强；（2）细化预算要加强；（3）绩效组织体系要完善。下一步改进措施：（1）在制定项目目标的时候，尽可能的全面考虑，不要有漏项和遗项，同时深化项目实施的可行度，预期成效等；（2）不断加强管理，细化预算，进一步从源头细化、编准、编实预算，努力做到预算制度与政策细化，预算项目和资金精细，预算编制和执行精细；（3）不断加强预算绩效组织体系建设，成立预算绩效管理工作领导小组，安排专人负责绩效目标管理与绩效评价，并落到实处。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rEusgiVwt54HvJk/+ku6IQ==" w:hash="pEKVrKoxQrST6o1QuwgKsTRqDsk="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