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新疆喀什地区麦盖提县司法局2019年度部门决算公开说明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1、承担县普法依法治理工作领导小组的具体工作，承办县委、县人民政府部门有关交办的其他工作事项；</w:t>
      </w:r>
    </w:p>
    <w:p>
      <w:pPr>
        <w:ind w:firstLine="480"/>
        <w:jc w:val="both"/>
      </w:pPr>
      <w:r>
        <w:rPr>
          <w:rFonts w:ascii="仿宋_GB2312" w:hAnsi="仿宋_GB2312" w:eastAsia="仿宋_GB2312" w:cs="仿宋_GB2312"/>
          <w:b w:val="0"/>
          <w:sz w:val="32"/>
        </w:rPr>
        <w:t>2、负责司法局的计划财务管理，监督管理物资装备；</w:t>
      </w:r>
    </w:p>
    <w:p>
      <w:pPr>
        <w:ind w:firstLine="480"/>
        <w:jc w:val="both"/>
      </w:pPr>
      <w:r>
        <w:rPr>
          <w:rFonts w:ascii="仿宋_GB2312" w:hAnsi="仿宋_GB2312" w:eastAsia="仿宋_GB2312" w:cs="仿宋_GB2312"/>
          <w:b w:val="0"/>
          <w:sz w:val="32"/>
        </w:rPr>
        <w:t>3、负责司法局队伍建设和思想政治工作，管理局机关编制、干部人事和工资，按照干部管理权限规定管理局机关干部队伍；</w:t>
      </w:r>
    </w:p>
    <w:p>
      <w:pPr>
        <w:ind w:firstLine="480"/>
        <w:jc w:val="both"/>
      </w:pPr>
      <w:r>
        <w:rPr>
          <w:rFonts w:ascii="仿宋_GB2312" w:hAnsi="仿宋_GB2312" w:eastAsia="仿宋_GB2312" w:cs="仿宋_GB2312"/>
          <w:b w:val="0"/>
          <w:sz w:val="32"/>
        </w:rPr>
        <w:t>4、监督、管理社会律师和法律援助工作，综合管理社会法律服务机构；</w:t>
      </w:r>
    </w:p>
    <w:p>
      <w:pPr>
        <w:ind w:firstLine="480"/>
        <w:jc w:val="both"/>
      </w:pPr>
      <w:r>
        <w:rPr>
          <w:rFonts w:ascii="仿宋_GB2312" w:hAnsi="仿宋_GB2312" w:eastAsia="仿宋_GB2312" w:cs="仿宋_GB2312"/>
          <w:b w:val="0"/>
          <w:sz w:val="32"/>
        </w:rPr>
        <w:t>5、管理监督公证处机构及公证业务活动。</w:t>
      </w:r>
    </w:p>
    <w:p>
      <w:pPr>
        <w:ind w:firstLine="480"/>
        <w:jc w:val="both"/>
      </w:pPr>
      <w:r>
        <w:rPr>
          <w:rFonts w:ascii="仿宋_GB2312" w:hAnsi="仿宋_GB2312" w:eastAsia="仿宋_GB2312" w:cs="仿宋_GB2312"/>
          <w:b w:val="0"/>
          <w:sz w:val="32"/>
        </w:rPr>
        <w:t>6、领导全县的“148”法律服务专线电话建设，协调“148”法律服务工作；</w:t>
      </w:r>
    </w:p>
    <w:p>
      <w:pPr>
        <w:ind w:firstLine="480"/>
        <w:jc w:val="both"/>
      </w:pPr>
      <w:r>
        <w:rPr>
          <w:rFonts w:ascii="仿宋_GB2312" w:hAnsi="仿宋_GB2312" w:eastAsia="仿宋_GB2312" w:cs="仿宋_GB2312"/>
          <w:b w:val="0"/>
          <w:sz w:val="32"/>
        </w:rPr>
        <w:t>7、指导局机关管理人民调解工作和基层司法所，司法助理员及法律服务工作。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新疆喀什地区麦盖提县司法局2019年度，实有人数45人，其中：在职人员34人，离休人员0人，退休人员11人。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从部门决算单位构成看，新疆喀什地区麦盖提县司法局部门决算包括：新疆喀什地区麦盖提县司法局决算。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595.67万元，与上年相比，减少832.22万元，下降58.28%，主要原因是：上级专项及本级项目资金较去年减少。本年支出625.15万元，与上年相比，减少959.96万元，下降60.56%，主要原因是：上级专项及本级项目资金较去年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2019年度本年收入595.67万元，其中：财政拨款收入585.17万元，占98.24%；上级补助收入0万元，占0%；事业收入0万元，占0%；经营收入0万元，占0%；附属单位上缴收入0万元，占0%；其他收入10.50万元，占1.76%。</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2019年度本年支出625.15万元，其中：基本支出371.17万元，占59.37%；项目支出253.98万元，占40.63%；上缴上级支出0万元，占0%；经营支出0万元，占0%；对附属单位补助支出0万元，占0%。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585.17万元，与上年相比，减少828.02万元，下降58.59%，主要原因是：上级专项及本级项目资金较去年减少。财政拨款支出610.45万元，与上年相比，减少974.66万元，下降61.49%，主要原因是：上级专项及本级项目资金较去年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404.98万元，决算数585.17万元，预决算差异率44.49%，主要原因是：年初预算只有本级项目以及预告知的项目，后期到达的部分专项资金通过预算追加下达，因此决算数大于年初预算数。财政拨款支出年初预算数404.98万元，决算数610.45万元，预决算差异率50.74%，主要原因是：年初预算只有本级项目以及预告知的项目，后期到达的部分专项资金通过预算追加下达，因此决算数大于年初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2019年度一般公共预算财政拨款支出610.45万元。按功能分类科目项级科目公开，其中：</w:t>
      </w:r>
    </w:p>
    <w:p>
      <w:pPr>
        <w:ind w:firstLine="480"/>
        <w:jc w:val="both"/>
      </w:pPr>
      <w:r>
        <w:rPr>
          <w:rFonts w:ascii="仿宋_GB2312" w:hAnsi="仿宋_GB2312" w:eastAsia="仿宋_GB2312" w:cs="仿宋_GB2312"/>
          <w:b w:val="0"/>
          <w:sz w:val="32"/>
        </w:rPr>
        <w:t xml:space="preserve">   2040601行政运行支出311.95万元；</w:t>
      </w:r>
    </w:p>
    <w:p>
      <w:pPr>
        <w:ind w:firstLine="480"/>
        <w:jc w:val="both"/>
      </w:pPr>
      <w:r>
        <w:rPr>
          <w:rFonts w:ascii="仿宋_GB2312" w:hAnsi="仿宋_GB2312" w:eastAsia="仿宋_GB2312" w:cs="仿宋_GB2312"/>
          <w:b w:val="0"/>
          <w:sz w:val="32"/>
        </w:rPr>
        <w:t xml:space="preserve">   2040602一般行政管理事务支出106万元；</w:t>
      </w:r>
    </w:p>
    <w:p>
      <w:pPr>
        <w:ind w:firstLine="480"/>
        <w:jc w:val="both"/>
      </w:pPr>
      <w:r>
        <w:rPr>
          <w:rFonts w:ascii="仿宋_GB2312" w:hAnsi="仿宋_GB2312" w:eastAsia="仿宋_GB2312" w:cs="仿宋_GB2312"/>
          <w:b w:val="0"/>
          <w:sz w:val="32"/>
        </w:rPr>
        <w:t xml:space="preserve">   2040604基层司法业务支出31万元；</w:t>
      </w:r>
    </w:p>
    <w:p>
      <w:pPr>
        <w:ind w:firstLine="480"/>
        <w:jc w:val="both"/>
      </w:pPr>
      <w:r>
        <w:rPr>
          <w:rFonts w:ascii="仿宋_GB2312" w:hAnsi="仿宋_GB2312" w:eastAsia="仿宋_GB2312" w:cs="仿宋_GB2312"/>
          <w:b w:val="0"/>
          <w:sz w:val="32"/>
        </w:rPr>
        <w:t xml:space="preserve">   2040607法律援助支出7.53万元；</w:t>
      </w:r>
    </w:p>
    <w:p>
      <w:pPr>
        <w:ind w:firstLine="480"/>
        <w:jc w:val="both"/>
      </w:pPr>
      <w:r>
        <w:rPr>
          <w:rFonts w:ascii="仿宋_GB2312" w:hAnsi="仿宋_GB2312" w:eastAsia="仿宋_GB2312" w:cs="仿宋_GB2312"/>
          <w:b w:val="0"/>
          <w:sz w:val="32"/>
        </w:rPr>
        <w:t xml:space="preserve">   2040699其他司法支出94.76万元；</w:t>
      </w:r>
    </w:p>
    <w:p>
      <w:pPr>
        <w:ind w:firstLine="480"/>
        <w:jc w:val="both"/>
      </w:pPr>
      <w:r>
        <w:rPr>
          <w:rFonts w:ascii="仿宋_GB2312" w:hAnsi="仿宋_GB2312" w:eastAsia="仿宋_GB2312" w:cs="仿宋_GB2312"/>
          <w:b w:val="0"/>
          <w:sz w:val="32"/>
        </w:rPr>
        <w:t xml:space="preserve">   2080505机关事业单位基本养老保险缴费支出33.60万元；</w:t>
      </w:r>
    </w:p>
    <w:p>
      <w:pPr>
        <w:ind w:firstLine="480"/>
        <w:jc w:val="both"/>
      </w:pPr>
      <w:r>
        <w:rPr>
          <w:rFonts w:ascii="仿宋_GB2312" w:hAnsi="仿宋_GB2312" w:eastAsia="仿宋_GB2312" w:cs="仿宋_GB2312"/>
          <w:b w:val="0"/>
          <w:sz w:val="32"/>
        </w:rPr>
        <w:t xml:space="preserve">   2210201住房公积金支出25.62万元。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2019年度一般公共预算财政拨款基本支出371.17万元，其中：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人员经费363.71万元，包括：基本工资、津贴补贴、奖金、机关事业单位基本养老保险缴费、职工基本医疗保险缴费、公务员医疗补助缴费、其他社会保障缴费、住房公积金、退休费、抚恤金、生活补助、奖励金。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公用经费7.45万元，包括：取暖费。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39.81万元，比上年增加39.81万元，增长100%，主要原因是18年“三公”经费来自于非财政资金，19年从财政拨款项目中开支“三公”经费，因此较去年增加。其中，因公出国（境）费支出0万元，占0%，比上年增加0万元，增长0%，主要原因是与上年相比无变动，与上年一致；公务用车购置及运行维护费支出39.81万元，占100%，比上年增加39.81万元，增长100%，主要原因是18年“三公”经费来自于非财政资金，19年从财政拨款项目中开支“三公”经费，因此较去年增加；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因公出国（境）费支出0万元，开支内容包括：预算未安排，无此项开支。单位全年安排的因公出国（境）团组0个，因公出国（境）0人次。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公务用车购置及运行维护费39.81万元，其中，公务用车购置费0万元，公务用车运行维护费39.81万元。公务用车运行维护费开支内容包括汽车油料、维护费、保险费。公务用车购置数0辆，公务用车保有量11辆。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公务接待费0万元，开支内容包括预算未安排，无此项开支。单位全年安排的国内公务接待0批次，0人次。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39.81万元，预决算差异率100%，主要原因是：年初未安排预算，实际产生的费用在项目中开支，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39.81万元，预决算差异率100%，主要原因是：年初未安排预算，实际产生的费用在项目中开支，因此决算数大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2019年度新疆喀什地区麦盖提县司法局机关运行经费支出7.45万元，比上年减少0.75万元，降低9.15%，主要原因是厉行节约，压缩一般性开支。</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2019年度政府采购支出总额243.30万元，其中：政府采购货物支出0万元、政府采购工程支出0万元、政府采购服务支出243.30万元。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授予中小企业合同金额243.30万元，占政府采购支出总额的100%，其中：授予小微企业合同金额243.30万元，占政府采购支出总额的100%。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200（平方米），价值6.59万元。车辆11辆，价值126.22万元，其中：副部（省）级及以上领导用车0辆、主要领导干部用车0辆、机要通信用车0辆、应急保障用车0辆、执法执勤用车10辆、特种专业技术用车0辆、离退休干部用车0辆、其他用车1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根据预算绩效管理要求，我单位2019年度开展预算绩效评价项目0个，共涉及资金0万元。我单位项目涉密，不予公开。</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596B6939"/>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2020-10-04T08:40:19Z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