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新疆喀什地区麦盖提县团委2019年度部门决算公开说明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1、领导本县共青团、青联、学联、少先队等青年社团组织的工作，根据党的中心任务和上级团委的工作任务，结合本县实际和青年特点，研究制定工作计划并组织实施。</w:t>
      </w:r>
    </w:p>
    <w:p>
      <w:pPr>
        <w:ind w:firstLine="480"/>
        <w:jc w:val="both"/>
      </w:pPr>
      <w:r>
        <w:rPr>
          <w:rFonts w:ascii="仿宋_GB2312" w:hAnsi="仿宋_GB2312" w:cs="仿宋_GB2312" w:eastAsia="仿宋_GB2312"/>
          <w:b w:val="false"/>
          <w:sz w:val="32"/>
        </w:rPr>
        <w:t>2、配合党政各有关部门做好对青少年的宣传、教育工作，调查青年思想动态和工作状况，研究青少年思想教育问题，提出相应的对策，开展各种活动。</w:t>
      </w:r>
    </w:p>
    <w:p>
      <w:pPr>
        <w:ind w:firstLine="480"/>
        <w:jc w:val="both"/>
      </w:pPr>
      <w:r>
        <w:rPr>
          <w:rFonts w:ascii="仿宋_GB2312" w:hAnsi="仿宋_GB2312" w:cs="仿宋_GB2312" w:eastAsia="仿宋_GB2312"/>
          <w:b w:val="false"/>
          <w:sz w:val="32"/>
        </w:rPr>
        <w:t>3、负责“希望工程”建设和少工委的日常工作，协助政府教育部门，做好大、中、小学学生的教育管理工作，维护学校安全和社会安定团结。</w:t>
      </w:r>
    </w:p>
    <w:p>
      <w:pPr>
        <w:ind w:firstLine="480"/>
        <w:jc w:val="both"/>
      </w:pPr>
      <w:r>
        <w:rPr>
          <w:rFonts w:ascii="仿宋_GB2312" w:hAnsi="仿宋_GB2312" w:cs="仿宋_GB2312" w:eastAsia="仿宋_GB2312"/>
          <w:b w:val="false"/>
          <w:sz w:val="32"/>
        </w:rPr>
        <w:t>4、组织带领青年在经济建设中发挥生力军和突击队作用，积极为党培养和输送优秀青年干部。</w:t>
      </w:r>
    </w:p>
    <w:p>
      <w:pPr>
        <w:ind w:firstLine="480"/>
        <w:jc w:val="both"/>
      </w:pPr>
      <w:r>
        <w:rPr>
          <w:rFonts w:ascii="仿宋_GB2312" w:hAnsi="仿宋_GB2312" w:cs="仿宋_GB2312" w:eastAsia="仿宋_GB2312"/>
          <w:b w:val="false"/>
          <w:sz w:val="32"/>
        </w:rPr>
        <w:t>5、维护青少年合法权益，负责全县未成年人保护的日常工作，协助县委、县政府处理、协调与青少年利益相关的事务，做好青年统战对象的团结教育工作，维护、促进祖国统一和民族团结。</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新疆喀什地区麦盖提县团委2019年度，实有人数7人，其中：在职人员7人，离休人员0人，退休人员0人。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从部门决算单位构成看，新疆喀什地区麦盖提县团委部门决算包括：新疆喀什地区麦盖提县团委决算。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448.83万元，与上年相比，增加233.61万元，增长108.54%，主要原因是：援疆资金及上级专项资金较去年增加。本年支出448.83万元，与上年相比，增加215万元，增长91.95%，主要原因是：援疆资金及上级专项资金较去年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2019年度本年收入448.83万元，其中：财政拨款收入296.33万元，占66.02%；上级补助收入0万元，占0%；事业收入0万元，占0%；经营收入0万元，占0%；附属单位上缴收入0万元，占0%；其他收入152.50万元，占33.98%。</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2019年度本年支出448.83万元，其中：基本支出87.14万元，占19.41%；项目支出361.70万元，占80.59%；上缴上级支出0万元，占0%；经营支出0万元，占0%；对附属单位补助支出0万元，占0%。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296.33万元，与上年相比，增加86.81万元，增长41.43%，主要原因是：上级专项资金较去年增加。财政拨款支出296.33万元，与上年相比，增加68.20万元，增长29.9%，主要原因是：上级专项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102.05万元，决算数296.33万元，预决算差异率190.38%，主要原因是：年初预算只有本级项目以及预告知的项目，后期到达的部分专项资金通过预算追加下达，因此决算数大于年初预算数。财政拨款支出年初预算数102.05万元，决算数296.33万元，预决算差异率190.38%，主要原因是：年初预算只有本级项目以及预告知的项目，后期到达的部分专项资金通过预算追加下达，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2019年度一般公共预算财政拨款支出296.33万元。按功能分类科目项级科目公开，其中：</w:t>
      </w:r>
    </w:p>
    <w:p>
      <w:pPr>
        <w:ind w:firstLine="480"/>
        <w:jc w:val="both"/>
      </w:pPr>
      <w:r>
        <w:rPr>
          <w:rFonts w:ascii="仿宋_GB2312" w:hAnsi="仿宋_GB2312" w:cs="仿宋_GB2312" w:eastAsia="仿宋_GB2312"/>
          <w:b w:val="false"/>
          <w:sz w:val="32"/>
        </w:rPr>
        <w:t xml:space="preserve">   2012901行政运行支出70.88万元；</w:t>
      </w:r>
    </w:p>
    <w:p>
      <w:pPr>
        <w:ind w:firstLine="480"/>
        <w:jc w:val="both"/>
      </w:pPr>
      <w:r>
        <w:rPr>
          <w:rFonts w:ascii="仿宋_GB2312" w:hAnsi="仿宋_GB2312" w:cs="仿宋_GB2312" w:eastAsia="仿宋_GB2312"/>
          <w:b w:val="false"/>
          <w:sz w:val="32"/>
        </w:rPr>
        <w:t xml:space="preserve">   2012999其他群众团体事务支出209.20万元；</w:t>
      </w:r>
    </w:p>
    <w:p>
      <w:pPr>
        <w:ind w:firstLine="480"/>
        <w:jc w:val="both"/>
      </w:pPr>
      <w:r>
        <w:rPr>
          <w:rFonts w:ascii="仿宋_GB2312" w:hAnsi="仿宋_GB2312" w:cs="仿宋_GB2312" w:eastAsia="仿宋_GB2312"/>
          <w:b w:val="false"/>
          <w:sz w:val="32"/>
        </w:rPr>
        <w:t xml:space="preserve">   2080505机关事业单位基本养老保险缴费支出9.29万元；</w:t>
      </w:r>
    </w:p>
    <w:p>
      <w:pPr>
        <w:ind w:firstLine="480"/>
        <w:jc w:val="both"/>
      </w:pPr>
      <w:r>
        <w:rPr>
          <w:rFonts w:ascii="仿宋_GB2312" w:hAnsi="仿宋_GB2312" w:cs="仿宋_GB2312" w:eastAsia="仿宋_GB2312"/>
          <w:b w:val="false"/>
          <w:sz w:val="32"/>
        </w:rPr>
        <w:t xml:space="preserve">   2210201住房公积金支出6.96万元。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2019年度一般公共预算财政拨款基本支出87.14万元，其中：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人员经费84.61万元，包括：基本工资、津贴补贴、奖金、机关事业单位基本养老保险缴费、职工基本医疗保险缴费、公务员医疗补助缴费、其他社会保障缴费、住房公积金。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公用经费2.52万元，包括：办公费、邮电费、劳务费。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于上年相比无变动，于上年一致。其中，因公出国（境）费支出0万元，占0%，比上年增加0万元，增长0%，主要原因是于上年相比无变动，于上年一致；公务用车购置及运行维护费支出0万元，占0%，比上年增加0万元，增长0%，主要原因是于上年相比无变动，于上年一致；公务接待费支出0万元，占0%，比上年增加0万元，增长0%，主要原因是于上年相比无变动，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因公出国（境）费支出0万元，开支内容包括：预算未安排，无此项开支。单位全年安排的因公出国（境）团组0个，因公出国（境）0人次。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公务用车购置及运行维护费0万元，其中，公务用车购置费0万元，公务用车运行维护费0万元。公务用车运行维护费开支内容包括预算未安排，无此项开支。公务用车购置数0辆，公务用车保有量0辆。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公务接待费0万元，开支内容包括预算未安排，无此项开支。单位全年安排的国内公务接待0批次，0人次。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1.56万元，决算数0万元，预决算差异率-100%，主要原因是：因工作需要其他单位经常借用，车辆运行维护费由其他单位负担，因此决算数小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1.56万元，决算数0万元，预决算差异率-100%，主要原因是：因工作需要其他单位经常借用，车辆运行维护费由其他单位负担，因此决算数小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2019年度新疆喀什地区麦盖提县团委机关运行经费支出2.52万元，比上年增加2.52万元，增长100%，主要原因是上级下拨西部志愿者项目资金较去年增加，为做好专项业务工作，相关办公经费较去年增加。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2019年度政府采购支出总额151.51万元，其中：政府采购货物支出0万元、政府采购工程支出0万元、政府采购服务支出151.51万元。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授予中小企业合同金额151.51万元，占政府采购支出总额的100%，其中：授予小微企业合同金额151.51万元，占政府采购支出总额的100%。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7.95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152.5万元。预算绩效管理取得的成效：鲁疆青少年手拉手活动：进一步加强了日照与麦盖提两地青少年的交流沟通，加深了彼此对不同文化、不同地域的了解与融合，促进民族团结；出访活动地点，北京市、山东省济南、曲阜、莒县、日照、青岛等省市。发现的问题及原因：对于绩效管理工作还是主观能动性不强，工作人员较少，任务较重，无更多精力去全力进行绩效管理工作，所有人都一人多职，从上到下进行传递压力，时间短任务重，绩效管理工作不全面。下一步改进措施：建议相关部门加强对绩效管理工作的培训。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RPDP3a381MMx2j77XlQbDA==" w:hash="I+KJTemkK7rKhrwpHMBup0sx7WQ="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