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ascii="方正小标宋_GBK" w:hAnsi="方正小标宋_GBK" w:eastAsia="方正小标宋_GBK" w:cs="方正小标宋_GBK"/>
          <w:sz w:val="44"/>
        </w:rPr>
        <w:t>新疆喀什地区麦盖提县委员会编制委员会2019年度部门决算公开说明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0" w:name="_Toc32314"/>
      <w:bookmarkStart w:id="1" w:name="_Toc24028"/>
      <w:r>
        <w:rPr>
          <w:rFonts w:hint="eastAsia" w:ascii="黑体" w:hAnsi="黑体" w:eastAsia="黑体"/>
          <w:sz w:val="32"/>
          <w:szCs w:val="32"/>
        </w:rPr>
        <w:t>第一部分 部门单位概况</w:t>
      </w:r>
      <w:bookmarkEnd w:id="0"/>
      <w:bookmarkEnd w:id="1"/>
    </w:p>
    <w:p>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480"/>
        <w:jc w:val="both"/>
      </w:pPr>
      <w:r>
        <w:rPr>
          <w:rFonts w:ascii="仿宋_GB2312" w:hAnsi="仿宋_GB2312" w:eastAsia="仿宋_GB2312" w:cs="仿宋_GB2312"/>
          <w:b w:val="0"/>
          <w:sz w:val="32"/>
        </w:rPr>
        <w:t>拟定本县行政管理体制与机构改革的方案，审核县委各部门、政府各部门的机构改革方案。管理县委各部门、政府各部门的职能配置和调整工作。负责县委、政府议事协调机构和临时机构设置的审核、报批及管理工作。</w:t>
      </w:r>
    </w:p>
    <w:p>
      <w:pPr>
        <w:ind w:firstLine="480"/>
        <w:jc w:val="both"/>
      </w:pPr>
      <w:r>
        <w:rPr>
          <w:rFonts w:ascii="仿宋_GB2312" w:hAnsi="仿宋_GB2312" w:eastAsia="仿宋_GB2312" w:cs="仿宋_GB2312"/>
          <w:b w:val="0"/>
          <w:sz w:val="32"/>
        </w:rPr>
        <w:t>研究拟定全县事业单位管理体制和机构改革的方案；审核县委、政府直属事业单位的机构编制方案。</w:t>
      </w:r>
    </w:p>
    <w:p>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pPr>
      <w:r>
        <w:rPr>
          <w:rFonts w:ascii="仿宋_GB2312" w:hAnsi="仿宋_GB2312" w:eastAsia="仿宋_GB2312" w:cs="仿宋_GB2312"/>
          <w:sz w:val="32"/>
        </w:rPr>
        <w:t>新疆喀什地区麦盖提县委员会编制委员会2019年度，实有人数10人，其中：在职人员9人，离休人员0人，退休人员1人。</w:t>
      </w:r>
    </w:p>
    <w:p>
      <w:pPr>
        <w:ind w:firstLine="640" w:firstLineChars="200"/>
        <w:rPr>
          <w:rFonts w:ascii="仿宋_GB2312" w:eastAsia="仿宋_GB2312"/>
          <w:sz w:val="32"/>
          <w:szCs w:val="32"/>
        </w:rPr>
      </w:pPr>
      <w:r>
        <w:rPr>
          <w:rFonts w:ascii="仿宋_GB2312" w:hAnsi="仿宋_GB2312" w:eastAsia="仿宋_GB2312" w:cs="仿宋_GB2312"/>
          <w:sz w:val="32"/>
        </w:rPr>
        <w:t>从部门决算单位构成看，新疆喀什地区麦盖提县委员会编制委员会部门决算包括：新疆喀什地区麦盖提县委员会编制委员会决算。</w:t>
      </w:r>
    </w:p>
    <w:p>
      <w:pPr>
        <w:ind w:firstLine="640" w:firstLineChars="200"/>
        <w:jc w:val="center"/>
        <w:outlineLvl w:val="0"/>
        <w:rPr>
          <w:rFonts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ascii="仿宋_GB2312" w:hAnsi="仿宋_GB2312" w:eastAsia="仿宋_GB2312" w:cs="仿宋_GB2312"/>
          <w:sz w:val="32"/>
        </w:rPr>
        <w:t>2019年度本年收入109.65万元，与上年相比，增加3.22万元，增长3.03%，主要原因是：人员正常晋升，调资增资，发放绩效。本年支出109.65万元，与上年相比，增加3.22万元，增长3.03%，主要原因是：人员正常晋升，调资增资，发放绩效。</w:t>
      </w:r>
    </w:p>
    <w:p>
      <w:pPr>
        <w:ind w:firstLine="640" w:firstLineChars="200"/>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hAnsi="仿宋_GB2312" w:eastAsia="仿宋_GB2312" w:cs="仿宋_GB2312"/>
          <w:sz w:val="32"/>
        </w:rPr>
        <w:t>2019年度本年收入109.65万元，其中：财政拨款收入109.21万元，占99.6%；上级补助收入0万元，占0%；事业收入0万元，占0%；经营收入0万元，占0%；附属单位上缴收入0万元，占0%；其他收入0.43万元，占0.39%。</w:t>
      </w:r>
    </w:p>
    <w:p>
      <w:pPr>
        <w:ind w:firstLine="640" w:firstLineChars="200"/>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hAnsi="仿宋_GB2312" w:eastAsia="仿宋_GB2312" w:cs="仿宋_GB2312"/>
          <w:sz w:val="32"/>
        </w:rPr>
        <w:t>2019年度本年支出109.65万元，其中：基本支出109.65万元，占100%；项目支出0万元，占0%；上缴上级支出0万元，占0%；经营支出0万元，占0%；对附属单位补助支出0万元，占0%。</w:t>
      </w:r>
    </w:p>
    <w:p>
      <w:pPr>
        <w:ind w:firstLine="640" w:firstLineChars="200"/>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hAnsi="仿宋_GB2312" w:eastAsia="仿宋_GB2312" w:cs="仿宋_GB2312"/>
          <w:sz w:val="32"/>
        </w:rPr>
        <w:t>2019年度财政拨款收入109.21万元，与上年相比，增加2.78万元，增长2.61%，主要原因是：人员正常晋升，调资增资，发放绩效。财政拨款支出109.21万元，与上年相比，增加2.78万元，增长2.61%，主要原因是：人员正常晋升，调资增资，发放绩效。</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财政拨款收入年初预算数123.80万元，决算数109.21万元，预决算差异率-11.79%，主要原因是：节约经费，减少开支。财政拨款支出年初预算数123.80万元，决算数109.21万元，预决算差异率-11.79%，主要原因是：节约经费，减少开支。</w:t>
      </w:r>
    </w:p>
    <w:p>
      <w:pPr>
        <w:ind w:firstLine="640" w:firstLineChars="200"/>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2019年度一般公共预算财政拨款支出109.21万元。按功能分类科目项级科目公开，其中：</w:t>
      </w:r>
    </w:p>
    <w:p>
      <w:pPr>
        <w:ind w:firstLine="480"/>
        <w:jc w:val="both"/>
      </w:pPr>
      <w:r>
        <w:rPr>
          <w:rFonts w:ascii="仿宋_GB2312" w:hAnsi="仿宋_GB2312" w:eastAsia="仿宋_GB2312" w:cs="仿宋_GB2312"/>
          <w:b w:val="0"/>
          <w:sz w:val="32"/>
        </w:rPr>
        <w:t xml:space="preserve">   2011001行政运行支出89.48万元；</w:t>
      </w:r>
    </w:p>
    <w:p>
      <w:pPr>
        <w:ind w:firstLine="480"/>
        <w:jc w:val="both"/>
      </w:pPr>
      <w:r>
        <w:rPr>
          <w:rFonts w:ascii="仿宋_GB2312" w:hAnsi="仿宋_GB2312" w:eastAsia="仿宋_GB2312" w:cs="仿宋_GB2312"/>
          <w:b w:val="0"/>
          <w:sz w:val="32"/>
        </w:rPr>
        <w:t xml:space="preserve">   2080505机关事业单位基本养老保险缴费支出11.27万元；</w:t>
      </w:r>
    </w:p>
    <w:p>
      <w:pPr>
        <w:ind w:firstLine="480"/>
        <w:jc w:val="both"/>
      </w:pPr>
      <w:r>
        <w:rPr>
          <w:rFonts w:ascii="仿宋_GB2312" w:hAnsi="仿宋_GB2312" w:eastAsia="仿宋_GB2312" w:cs="仿宋_GB2312"/>
          <w:b w:val="0"/>
          <w:sz w:val="32"/>
        </w:rPr>
        <w:t xml:space="preserve">   2210201住房公积金支出8.47万元。</w:t>
      </w:r>
    </w:p>
    <w:p>
      <w:pPr>
        <w:ind w:firstLine="640" w:firstLineChars="200"/>
        <w:outlineLvl w:val="1"/>
        <w:rPr>
          <w:rFonts w:ascii="黑体" w:hAnsi="黑体" w:eastAsia="黑体" w:cs="宋体"/>
          <w:bCs/>
          <w:kern w:val="0"/>
          <w:sz w:val="32"/>
          <w:szCs w:val="32"/>
        </w:rPr>
      </w:pPr>
      <w:bookmarkStart w:id="18" w:name="_Toc30870"/>
      <w:bookmarkStart w:id="19" w:name="_Toc11146"/>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2019年度一般公共预算财政拨款基本支出109.21万元，其中：</w:t>
      </w:r>
    </w:p>
    <w:p>
      <w:pPr>
        <w:ind w:firstLine="640" w:firstLineChars="200"/>
        <w:rPr>
          <w:rFonts w:ascii="仿宋_GB2312" w:eastAsia="仿宋_GB2312"/>
          <w:sz w:val="32"/>
          <w:szCs w:val="32"/>
        </w:rPr>
      </w:pPr>
      <w:r>
        <w:rPr>
          <w:rFonts w:ascii="仿宋_GB2312" w:hAnsi="仿宋_GB2312" w:eastAsia="仿宋_GB2312" w:cs="仿宋_GB2312"/>
          <w:sz w:val="32"/>
        </w:rPr>
        <w:t>人员经费104.54万元，包括：基本工资、津贴补贴、奖金、机关事业单位基本养老保险缴费、职工基本医疗保险缴费、公务员医疗补助缴费、其他社会保障缴费、住房公积金、退休费、奖励金。</w:t>
      </w:r>
    </w:p>
    <w:p>
      <w:pPr>
        <w:ind w:firstLine="640" w:firstLineChars="200"/>
        <w:rPr>
          <w:rFonts w:ascii="仿宋_GB2312" w:eastAsia="仿宋_GB2312"/>
          <w:sz w:val="32"/>
          <w:szCs w:val="32"/>
        </w:rPr>
      </w:pPr>
      <w:r>
        <w:rPr>
          <w:rFonts w:ascii="仿宋_GB2312" w:hAnsi="仿宋_GB2312" w:eastAsia="仿宋_GB2312" w:cs="仿宋_GB2312"/>
          <w:sz w:val="32"/>
        </w:rPr>
        <w:t>公用经费4.67万元，包括：办公费</w:t>
      </w:r>
      <w:bookmarkStart w:id="54" w:name="_GoBack"/>
      <w:bookmarkEnd w:id="54"/>
      <w:r>
        <w:rPr>
          <w:rFonts w:ascii="仿宋_GB2312" w:hAnsi="仿宋_GB2312" w:eastAsia="仿宋_GB2312" w:cs="仿宋_GB2312"/>
          <w:sz w:val="32"/>
        </w:rPr>
        <w:t>、印刷费、邮电费、差旅费、公务用车运行维护费、其他商品和服务支出</w:t>
      </w:r>
      <w:r>
        <w:rPr>
          <w:rFonts w:hint="eastAsia" w:ascii="仿宋_GB2312" w:hAnsi="仿宋_GB2312" w:eastAsia="仿宋_GB2312" w:cs="仿宋_GB2312"/>
          <w:sz w:val="32"/>
          <w:lang w:eastAsia="zh-CN"/>
        </w:rPr>
        <w:t>、办公设备购置</w:t>
      </w:r>
      <w:r>
        <w:rPr>
          <w:rFonts w:ascii="仿宋_GB2312" w:hAnsi="仿宋_GB2312" w:eastAsia="仿宋_GB2312" w:cs="仿宋_GB2312"/>
          <w:sz w:val="32"/>
        </w:rPr>
        <w:t>。</w:t>
      </w:r>
    </w:p>
    <w:p>
      <w:pPr>
        <w:ind w:firstLine="640" w:firstLineChars="200"/>
        <w:outlineLvl w:val="1"/>
        <w:rPr>
          <w:rFonts w:ascii="黑体" w:hAnsi="黑体" w:eastAsia="黑体" w:cs="宋体"/>
          <w:bCs/>
          <w:kern w:val="0"/>
          <w:sz w:val="32"/>
          <w:szCs w:val="32"/>
        </w:rPr>
      </w:pPr>
      <w:bookmarkStart w:id="20" w:name="_Toc21518"/>
      <w:bookmarkStart w:id="21" w:name="_Toc7190"/>
      <w:r>
        <w:rPr>
          <w:rFonts w:hint="eastAsia" w:ascii="黑体" w:hAnsi="黑体" w:eastAsia="黑体" w:cs="宋体"/>
          <w:bCs/>
          <w:kern w:val="0"/>
          <w:sz w:val="32"/>
          <w:szCs w:val="32"/>
        </w:rPr>
        <w:t>七、一般公共预算财政拨款“三公”经费支出决算情况说明</w:t>
      </w:r>
      <w:bookmarkEnd w:id="20"/>
      <w:bookmarkEnd w:id="21"/>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三公”经费支出决算0.36万元，比上年减少0.01万元，降低2.7%，主要原因是厉行节约，压缩“三公”经费开支。其中，因公出国（境）费支出0万元，占0%，比上年增加0万元，增长0%，主要原因是与上年相比无变动，与上年一致；公务用车购置及运行维护费支出0.36万元，占100%，比上年减少0.01万元，降低2.7%，主要原因是厉行节约，压缩“三公”经费开支；公务接待费支出0万元，占0%，比上年增加0万元，增长0%，主要原因是与上年相比无变动，与上年一致。具体情况如下：</w:t>
      </w:r>
    </w:p>
    <w:p>
      <w:pPr>
        <w:ind w:firstLine="640" w:firstLineChars="200"/>
        <w:rPr>
          <w:rFonts w:ascii="仿宋_GB2312" w:eastAsia="仿宋_GB2312"/>
          <w:sz w:val="32"/>
          <w:szCs w:val="32"/>
        </w:rPr>
      </w:pPr>
      <w:r>
        <w:rPr>
          <w:rFonts w:ascii="仿宋_GB2312" w:hAnsi="仿宋_GB2312" w:eastAsia="仿宋_GB2312" w:cs="仿宋_GB2312"/>
          <w:sz w:val="32"/>
        </w:rPr>
        <w:t>因公出国（境）费支出0万元，开支内容包括：预算未安排，无此项支出。单位全年安排的因公出国（境）团组0个，因公出国（境）0人次。</w:t>
      </w:r>
    </w:p>
    <w:p>
      <w:pPr>
        <w:ind w:firstLine="640" w:firstLineChars="200"/>
        <w:rPr>
          <w:rFonts w:ascii="仿宋_GB2312" w:eastAsia="仿宋_GB2312"/>
          <w:sz w:val="32"/>
          <w:szCs w:val="32"/>
        </w:rPr>
      </w:pPr>
      <w:r>
        <w:rPr>
          <w:rFonts w:ascii="仿宋_GB2312" w:hAnsi="仿宋_GB2312" w:eastAsia="仿宋_GB2312" w:cs="仿宋_GB2312"/>
          <w:sz w:val="32"/>
        </w:rPr>
        <w:t>公务用车购置及运行维护费0.36万元，其中，公务用车购置费0万元，公务用车运行维护费0.36万元。公务用车运行维护费开支内容包括汽车油料、维护费、过路费。公务用车购置数0辆，公务用车保有量1辆。</w:t>
      </w:r>
    </w:p>
    <w:p>
      <w:pPr>
        <w:ind w:firstLine="640" w:firstLineChars="200"/>
        <w:rPr>
          <w:rFonts w:ascii="仿宋_GB2312" w:eastAsia="仿宋_GB2312"/>
          <w:sz w:val="32"/>
          <w:szCs w:val="32"/>
        </w:rPr>
      </w:pPr>
      <w:r>
        <w:rPr>
          <w:rFonts w:ascii="仿宋_GB2312" w:hAnsi="仿宋_GB2312" w:eastAsia="仿宋_GB2312" w:cs="仿宋_GB2312"/>
          <w:sz w:val="32"/>
        </w:rPr>
        <w:t>公务接待费0万元，开支内容包括预算未安排，无此项支出。单位全年安排的国内公务接待0批次，0人次。</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一般公共预算“三公”经费支出年初预算数1.56万元，决算数0.36万元，预决算差异率-76.92%，主要原因是：厉行节约，压缩“三公”经费开支，部分指标未使用，实际产生的“三公”经费小于年初预算数。其中：因公出国（境）费预算数0万元，决算数0万元，预决算差异率0%，主要原因是：预算未安排，也无相应支出，因此预决算无差异；公务用车购置费预算数0万元，决算数0万元，预决算差异率0%，主要原因是：预算未安排，也无相应支出，因此预决算无差异；公务用车运行费预算数1.56万元，决算数0.36万元，预决算差异率-76.92%，主要原因是：厉行节约，压缩“三公”经费开支，部分指标未使用，实际产生的“三公”经费小于年初预算数；公务接待费预算数0万元，决算数0万元，预决算差异率0%，主要原因是：预算未安排，也无相应支出，因此预决算无差异。</w:t>
      </w:r>
    </w:p>
    <w:p>
      <w:pPr>
        <w:ind w:firstLine="640" w:firstLineChars="200"/>
        <w:outlineLvl w:val="1"/>
        <w:rPr>
          <w:rFonts w:ascii="黑体" w:hAnsi="黑体" w:eastAsia="黑体" w:cs="宋体"/>
          <w:bCs/>
          <w:kern w:val="0"/>
          <w:sz w:val="32"/>
          <w:szCs w:val="32"/>
        </w:rPr>
      </w:pPr>
      <w:bookmarkStart w:id="22" w:name="_Toc5810"/>
      <w:bookmarkStart w:id="23" w:name="_Toc7927"/>
      <w:r>
        <w:rPr>
          <w:rFonts w:hint="eastAsia" w:ascii="黑体" w:hAnsi="黑体" w:eastAsia="黑体" w:cs="宋体"/>
          <w:bCs/>
          <w:kern w:val="0"/>
          <w:sz w:val="32"/>
          <w:szCs w:val="32"/>
        </w:rPr>
        <w:t>八、政府性基金预算收入支出决算情况说明</w:t>
      </w:r>
      <w:bookmarkEnd w:id="22"/>
      <w:bookmarkEnd w:id="23"/>
    </w:p>
    <w:p>
      <w:pPr>
        <w:ind w:firstLine="640" w:firstLineChars="200"/>
        <w:rPr>
          <w:rFonts w:ascii="仿宋_GB2312" w:eastAsia="仿宋_GB2312"/>
          <w:color w:val="000000" w:themeColor="text1"/>
          <w:sz w:val="32"/>
          <w:szCs w:val="32"/>
          <w14:textFill>
            <w14:solidFill>
              <w14:schemeClr w14:val="tx1"/>
            </w14:solidFill>
          </w14:textFill>
        </w:rPr>
      </w:pPr>
      <w:r>
        <w:rPr>
          <w:rFonts w:ascii="仿宋_GB2312" w:hAnsi="仿宋_GB2312" w:eastAsia="仿宋_GB2312" w:cs="仿宋_GB2312"/>
          <w:sz w:val="32"/>
        </w:rPr>
        <w:t>我单位本年度无政府性基金预算财政拨款收入支出，政府性基金预算财政拨款收入支出决算表为空表。</w:t>
      </w:r>
    </w:p>
    <w:p>
      <w:pPr>
        <w:ind w:firstLine="640" w:firstLineChars="200"/>
        <w:outlineLvl w:val="1"/>
        <w:rPr>
          <w:rFonts w:ascii="黑体" w:hAnsi="黑体" w:eastAsia="黑体" w:cs="宋体"/>
          <w:bCs/>
          <w:kern w:val="0"/>
          <w:sz w:val="32"/>
          <w:szCs w:val="32"/>
        </w:rPr>
      </w:pPr>
      <w:bookmarkStart w:id="24" w:name="_Toc1235"/>
      <w:bookmarkStart w:id="25" w:name="_Toc7314"/>
      <w:r>
        <w:rPr>
          <w:rFonts w:hint="eastAsia" w:ascii="黑体" w:hAnsi="黑体" w:eastAsia="黑体" w:cs="宋体"/>
          <w:bCs/>
          <w:kern w:val="0"/>
          <w:sz w:val="32"/>
          <w:szCs w:val="32"/>
        </w:rPr>
        <w:t>九、其他重要事项的情况说明</w:t>
      </w:r>
      <w:bookmarkEnd w:id="24"/>
      <w:bookmarkEnd w:id="25"/>
    </w:p>
    <w:p>
      <w:pPr>
        <w:ind w:firstLine="640" w:firstLineChars="200"/>
        <w:outlineLvl w:val="2"/>
        <w:rPr>
          <w:rFonts w:ascii="黑体" w:hAnsi="黑体" w:eastAsia="黑体"/>
          <w:sz w:val="32"/>
          <w:szCs w:val="32"/>
        </w:rPr>
      </w:pPr>
      <w:bookmarkStart w:id="26" w:name="_Toc14519"/>
      <w:bookmarkStart w:id="27" w:name="_Toc13105"/>
      <w:r>
        <w:rPr>
          <w:rFonts w:hint="eastAsia" w:ascii="黑体" w:hAnsi="黑体" w:eastAsia="黑体"/>
          <w:sz w:val="32"/>
          <w:szCs w:val="32"/>
        </w:rPr>
        <w:t>（一）机关运行经费支出情况</w:t>
      </w:r>
      <w:bookmarkEnd w:id="26"/>
      <w:bookmarkEnd w:id="27"/>
    </w:p>
    <w:p>
      <w:pPr>
        <w:ind w:firstLine="640" w:firstLineChars="200"/>
        <w:rPr>
          <w:rFonts w:ascii="仿宋_GB2312" w:eastAsia="仿宋_GB2312"/>
          <w:sz w:val="32"/>
          <w:szCs w:val="32"/>
        </w:rPr>
      </w:pPr>
      <w:r>
        <w:rPr>
          <w:rFonts w:ascii="仿宋_GB2312" w:hAnsi="仿宋_GB2312" w:eastAsia="仿宋_GB2312" w:cs="仿宋_GB2312"/>
          <w:sz w:val="32"/>
        </w:rPr>
        <w:t>2019年度新疆喀什地区麦盖提县委员会编制委员会机关运行经费支出4.67万元，比上年增加2万元，增长74.91%，主要原因是办公经费及资本性支出中办公设备购置开支较去年增加。</w:t>
      </w:r>
    </w:p>
    <w:p>
      <w:pPr>
        <w:ind w:firstLine="640" w:firstLineChars="200"/>
        <w:outlineLvl w:val="2"/>
        <w:rPr>
          <w:rFonts w:ascii="黑体" w:hAnsi="黑体" w:eastAsia="黑体"/>
          <w:sz w:val="32"/>
          <w:szCs w:val="32"/>
        </w:rPr>
      </w:pPr>
      <w:bookmarkStart w:id="28" w:name="_Toc227"/>
      <w:bookmarkStart w:id="29" w:name="_Toc26704"/>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ascii="仿宋_GB2312" w:hAnsi="仿宋_GB2312" w:eastAsia="仿宋_GB2312" w:cs="仿宋_GB2312"/>
          <w:sz w:val="32"/>
        </w:rPr>
        <w:t>2019年度政府采购支出总额0万元，其中：政府采购货物支出0万元、政府采购工程支出0万元、政府采购服务支出0万元。</w:t>
      </w:r>
    </w:p>
    <w:p>
      <w:pPr>
        <w:ind w:firstLine="640" w:firstLineChars="200"/>
        <w:rPr>
          <w:rFonts w:ascii="仿宋_GB2312" w:eastAsia="仿宋_GB2312"/>
          <w:sz w:val="32"/>
          <w:szCs w:val="32"/>
        </w:rPr>
      </w:pPr>
      <w:r>
        <w:rPr>
          <w:rFonts w:ascii="仿宋_GB2312" w:hAnsi="仿宋_GB2312" w:eastAsia="仿宋_GB2312" w:cs="仿宋_GB2312"/>
          <w:sz w:val="32"/>
        </w:rPr>
        <w:t>授予中小企业合同金额0万元，占政府采购支出总额的0%，其中：授予小微企业合同金额0万元，占政府采购支出总额的0%。</w:t>
      </w:r>
    </w:p>
    <w:p>
      <w:pPr>
        <w:ind w:firstLine="640" w:firstLineChars="200"/>
        <w:outlineLvl w:val="2"/>
        <w:rPr>
          <w:rFonts w:ascii="黑体" w:hAnsi="黑体" w:eastAsia="黑体"/>
          <w:sz w:val="32"/>
          <w:szCs w:val="32"/>
        </w:rPr>
      </w:pPr>
      <w:bookmarkStart w:id="30" w:name="_Toc4591"/>
      <w:bookmarkStart w:id="31" w:name="_Toc83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ascii="仿宋_GB2312" w:hAnsi="仿宋_GB2312" w:eastAsia="仿宋_GB2312" w:cs="仿宋_GB2312"/>
          <w:sz w:val="32"/>
        </w:rPr>
        <w:t>截止2019年12月31日，单位共有房屋0（平方米），价值0万元。车辆1辆，价值17.97万元，其中：副部（省）级及以上领导用车0辆、主要领导干部用车0辆、机要通信用车0辆、应急保障用车0辆、执法执勤用车0辆、特种专业技术用车0辆、离退休干部用车0辆、其他用车1辆，其他用车主要是：一般公务用车；单位价值50万元以上通用设备0台（套）、单位价值100万元以上专用设备0台（套）。</w:t>
      </w:r>
    </w:p>
    <w:p>
      <w:pPr>
        <w:ind w:firstLine="640" w:firstLineChars="200"/>
        <w:outlineLvl w:val="1"/>
        <w:rPr>
          <w:rFonts w:ascii="黑体" w:hAnsi="黑体" w:eastAsia="黑体" w:cs="宋体"/>
          <w:bCs/>
          <w:kern w:val="0"/>
          <w:sz w:val="32"/>
          <w:szCs w:val="32"/>
        </w:rPr>
      </w:pPr>
      <w:bookmarkStart w:id="32" w:name="_Toc11283"/>
      <w:bookmarkStart w:id="33" w:name="_Toc435"/>
      <w:r>
        <w:rPr>
          <w:rFonts w:hint="eastAsia" w:ascii="黑体" w:hAnsi="黑体" w:eastAsia="黑体" w:cs="宋体"/>
          <w:bCs/>
          <w:kern w:val="0"/>
          <w:sz w:val="32"/>
          <w:szCs w:val="32"/>
        </w:rPr>
        <w:t>十、预算绩效的情况说明</w:t>
      </w:r>
      <w:bookmarkEnd w:id="32"/>
      <w:bookmarkEnd w:id="33"/>
    </w:p>
    <w:p>
      <w:pPr>
        <w:ind w:firstLine="640" w:firstLineChars="200"/>
        <w:rPr>
          <w:rFonts w:ascii="仿宋_GB2312" w:eastAsia="仿宋_GB2312"/>
          <w:sz w:val="32"/>
          <w:szCs w:val="32"/>
          <w:lang w:val="en-US"/>
        </w:rPr>
      </w:pPr>
      <w:bookmarkStart w:id="34" w:name="_Toc3250"/>
      <w:bookmarkStart w:id="35" w:name="_Toc24143"/>
      <w:r>
        <w:rPr>
          <w:rFonts w:hint="eastAsia" w:ascii="仿宋_GB2312" w:hAnsi="仿宋_GB2312" w:eastAsia="仿宋_GB2312" w:cs="仿宋_GB2312"/>
          <w:sz w:val="32"/>
          <w:lang w:val="en-US" w:eastAsia="zh-CN"/>
        </w:rPr>
        <w:t>根据预算绩效管理要求，我单位2019年度开展预算绩效评价项目0个，共涉及资金0万元。预算绩效管理取得的成效：无。发现的问题及原因：无。下一步改进措施：无。本单位无有关预算绩效管理和绩效自评开展情况。</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bookmarkStart w:id="36" w:name="_Toc28903"/>
      <w:bookmarkStart w:id="37" w:name="_Toc22784"/>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6062"/>
      <w:bookmarkStart w:id="39" w:name="_Toc2183"/>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24532"/>
      <w:bookmarkStart w:id="41" w:name="_Toc30364"/>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21304"/>
      <w:bookmarkStart w:id="43" w:name="_Toc3243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14238"/>
      <w:bookmarkStart w:id="45" w:name="_Toc28786"/>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0347"/>
      <w:bookmarkStart w:id="47" w:name="_Toc14869"/>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5626"/>
      <w:bookmarkStart w:id="49" w:name="_Toc8884"/>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32663"/>
      <w:bookmarkStart w:id="51" w:name="_Toc29106"/>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5453"/>
      <w:bookmarkStart w:id="53" w:name="_Toc7643"/>
      <w:r>
        <w:rPr>
          <w:rFonts w:hint="eastAsia" w:ascii="黑体" w:hAnsi="黑体" w:eastAsia="黑体" w:cs="宋体"/>
          <w:bCs/>
          <w:kern w:val="0"/>
          <w:sz w:val="32"/>
          <w:szCs w:val="32"/>
        </w:rPr>
        <w:t>八、《政府性基金预算财政拨款收入支出决算表》</w:t>
      </w:r>
      <w:bookmarkEnd w:id="52"/>
      <w:bookmarkEnd w:id="53"/>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AencV45wEAALYD&#10;AAAOAAAAAAAAAAEAIAAAAB4BAABkcnMvZTJvRG9jLnhtbFBLBQYAAAAABgAGAFkBAAB3BQ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dit="comments"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E66"/>
    <w:rsid w:val="000033EF"/>
    <w:rsid w:val="00004533"/>
    <w:rsid w:val="00005A21"/>
    <w:rsid w:val="0004063C"/>
    <w:rsid w:val="000701A7"/>
    <w:rsid w:val="00082456"/>
    <w:rsid w:val="000A663A"/>
    <w:rsid w:val="000B5514"/>
    <w:rsid w:val="000B57B8"/>
    <w:rsid w:val="000B69AB"/>
    <w:rsid w:val="000F01B7"/>
    <w:rsid w:val="000F6705"/>
    <w:rsid w:val="001111D4"/>
    <w:rsid w:val="001128A8"/>
    <w:rsid w:val="001130AE"/>
    <w:rsid w:val="001237CF"/>
    <w:rsid w:val="00125A6F"/>
    <w:rsid w:val="0014029C"/>
    <w:rsid w:val="00144642"/>
    <w:rsid w:val="00146FA3"/>
    <w:rsid w:val="001573AA"/>
    <w:rsid w:val="00162E66"/>
    <w:rsid w:val="001826D1"/>
    <w:rsid w:val="001848EE"/>
    <w:rsid w:val="00186B3B"/>
    <w:rsid w:val="001C2D35"/>
    <w:rsid w:val="001C5BE8"/>
    <w:rsid w:val="001C6E66"/>
    <w:rsid w:val="001D3634"/>
    <w:rsid w:val="001D37EF"/>
    <w:rsid w:val="001E4D79"/>
    <w:rsid w:val="001F29A9"/>
    <w:rsid w:val="001F777A"/>
    <w:rsid w:val="002122DE"/>
    <w:rsid w:val="00227229"/>
    <w:rsid w:val="002328AF"/>
    <w:rsid w:val="00233021"/>
    <w:rsid w:val="0024217C"/>
    <w:rsid w:val="00243E6C"/>
    <w:rsid w:val="00246EBC"/>
    <w:rsid w:val="00265F92"/>
    <w:rsid w:val="00272845"/>
    <w:rsid w:val="00282550"/>
    <w:rsid w:val="00287829"/>
    <w:rsid w:val="0029171A"/>
    <w:rsid w:val="00292B7F"/>
    <w:rsid w:val="00292C0A"/>
    <w:rsid w:val="002A4B19"/>
    <w:rsid w:val="002B072F"/>
    <w:rsid w:val="002B37DA"/>
    <w:rsid w:val="002B7A04"/>
    <w:rsid w:val="002D187F"/>
    <w:rsid w:val="002F1732"/>
    <w:rsid w:val="003106FF"/>
    <w:rsid w:val="00327986"/>
    <w:rsid w:val="003314E6"/>
    <w:rsid w:val="00340AE7"/>
    <w:rsid w:val="00354737"/>
    <w:rsid w:val="0037159F"/>
    <w:rsid w:val="00377EC6"/>
    <w:rsid w:val="003920B8"/>
    <w:rsid w:val="003A44F0"/>
    <w:rsid w:val="003C3EF4"/>
    <w:rsid w:val="003D1DD1"/>
    <w:rsid w:val="003E5F70"/>
    <w:rsid w:val="003F60E1"/>
    <w:rsid w:val="00400D8F"/>
    <w:rsid w:val="004161A5"/>
    <w:rsid w:val="00430E56"/>
    <w:rsid w:val="004318F5"/>
    <w:rsid w:val="00456820"/>
    <w:rsid w:val="00471387"/>
    <w:rsid w:val="00471BBD"/>
    <w:rsid w:val="0047268F"/>
    <w:rsid w:val="004A41CF"/>
    <w:rsid w:val="004A44C9"/>
    <w:rsid w:val="004B2E7F"/>
    <w:rsid w:val="004B3B3F"/>
    <w:rsid w:val="004D35C0"/>
    <w:rsid w:val="004E519F"/>
    <w:rsid w:val="004F1D2D"/>
    <w:rsid w:val="004F506B"/>
    <w:rsid w:val="00531503"/>
    <w:rsid w:val="00534ECA"/>
    <w:rsid w:val="005358C2"/>
    <w:rsid w:val="005474EB"/>
    <w:rsid w:val="005506DD"/>
    <w:rsid w:val="005529D0"/>
    <w:rsid w:val="00553FB5"/>
    <w:rsid w:val="00554A58"/>
    <w:rsid w:val="00560394"/>
    <w:rsid w:val="0056525F"/>
    <w:rsid w:val="005B1DE6"/>
    <w:rsid w:val="005C11EB"/>
    <w:rsid w:val="006032AE"/>
    <w:rsid w:val="00684E46"/>
    <w:rsid w:val="0068591E"/>
    <w:rsid w:val="00690F22"/>
    <w:rsid w:val="00693012"/>
    <w:rsid w:val="006B0B73"/>
    <w:rsid w:val="006D2B94"/>
    <w:rsid w:val="006D3853"/>
    <w:rsid w:val="006E0721"/>
    <w:rsid w:val="0070295D"/>
    <w:rsid w:val="00725755"/>
    <w:rsid w:val="0075023C"/>
    <w:rsid w:val="00750D8A"/>
    <w:rsid w:val="00764051"/>
    <w:rsid w:val="00772611"/>
    <w:rsid w:val="007741F8"/>
    <w:rsid w:val="007B0022"/>
    <w:rsid w:val="007E2E4F"/>
    <w:rsid w:val="007E3BFD"/>
    <w:rsid w:val="00807B4B"/>
    <w:rsid w:val="008144CF"/>
    <w:rsid w:val="00822EED"/>
    <w:rsid w:val="00827663"/>
    <w:rsid w:val="00847CE1"/>
    <w:rsid w:val="00852D88"/>
    <w:rsid w:val="00857132"/>
    <w:rsid w:val="00862395"/>
    <w:rsid w:val="0088099A"/>
    <w:rsid w:val="008853A8"/>
    <w:rsid w:val="00887778"/>
    <w:rsid w:val="008A54C1"/>
    <w:rsid w:val="008D5B57"/>
    <w:rsid w:val="008F7D99"/>
    <w:rsid w:val="0090080D"/>
    <w:rsid w:val="00922FA7"/>
    <w:rsid w:val="00927301"/>
    <w:rsid w:val="009351E1"/>
    <w:rsid w:val="0094423A"/>
    <w:rsid w:val="0095219B"/>
    <w:rsid w:val="00963E2E"/>
    <w:rsid w:val="009774AD"/>
    <w:rsid w:val="00980F6F"/>
    <w:rsid w:val="00993788"/>
    <w:rsid w:val="009A173F"/>
    <w:rsid w:val="009C479E"/>
    <w:rsid w:val="009F4245"/>
    <w:rsid w:val="009F594D"/>
    <w:rsid w:val="00A009B3"/>
    <w:rsid w:val="00A239E7"/>
    <w:rsid w:val="00A34EDA"/>
    <w:rsid w:val="00A77ECE"/>
    <w:rsid w:val="00AA13D0"/>
    <w:rsid w:val="00AC0B18"/>
    <w:rsid w:val="00AC1D87"/>
    <w:rsid w:val="00AC2605"/>
    <w:rsid w:val="00AE136F"/>
    <w:rsid w:val="00AE6C82"/>
    <w:rsid w:val="00AE7A56"/>
    <w:rsid w:val="00AF0871"/>
    <w:rsid w:val="00AF530E"/>
    <w:rsid w:val="00AF5DFE"/>
    <w:rsid w:val="00B006E5"/>
    <w:rsid w:val="00B24234"/>
    <w:rsid w:val="00B3219F"/>
    <w:rsid w:val="00B42062"/>
    <w:rsid w:val="00B64D13"/>
    <w:rsid w:val="00B76725"/>
    <w:rsid w:val="00BC38D2"/>
    <w:rsid w:val="00BC65E4"/>
    <w:rsid w:val="00BE0A9F"/>
    <w:rsid w:val="00BF4880"/>
    <w:rsid w:val="00C01003"/>
    <w:rsid w:val="00C2317E"/>
    <w:rsid w:val="00C87860"/>
    <w:rsid w:val="00C92609"/>
    <w:rsid w:val="00C974A0"/>
    <w:rsid w:val="00CA0969"/>
    <w:rsid w:val="00CB7A14"/>
    <w:rsid w:val="00CC66CE"/>
    <w:rsid w:val="00CD1E0A"/>
    <w:rsid w:val="00CE40E2"/>
    <w:rsid w:val="00CE4AEB"/>
    <w:rsid w:val="00CE74CB"/>
    <w:rsid w:val="00D00B68"/>
    <w:rsid w:val="00D04E19"/>
    <w:rsid w:val="00D6644C"/>
    <w:rsid w:val="00D71F68"/>
    <w:rsid w:val="00D767F4"/>
    <w:rsid w:val="00DA07A0"/>
    <w:rsid w:val="00DB4A9A"/>
    <w:rsid w:val="00DB6F81"/>
    <w:rsid w:val="00DD3B82"/>
    <w:rsid w:val="00E02851"/>
    <w:rsid w:val="00E43F43"/>
    <w:rsid w:val="00E76594"/>
    <w:rsid w:val="00EA656B"/>
    <w:rsid w:val="00EB1FF2"/>
    <w:rsid w:val="00EB42AF"/>
    <w:rsid w:val="00EB49C8"/>
    <w:rsid w:val="00EE3598"/>
    <w:rsid w:val="00EE791B"/>
    <w:rsid w:val="00EF3292"/>
    <w:rsid w:val="00F040C7"/>
    <w:rsid w:val="00F04DC0"/>
    <w:rsid w:val="00F24BA1"/>
    <w:rsid w:val="00F45607"/>
    <w:rsid w:val="00F552F7"/>
    <w:rsid w:val="00F57EE2"/>
    <w:rsid w:val="00F67C07"/>
    <w:rsid w:val="00F777E1"/>
    <w:rsid w:val="00F80266"/>
    <w:rsid w:val="00F83E19"/>
    <w:rsid w:val="00FB3828"/>
    <w:rsid w:val="00FC7A52"/>
    <w:rsid w:val="00FE0761"/>
    <w:rsid w:val="00FF5166"/>
    <w:rsid w:val="06792773"/>
    <w:rsid w:val="1DAF458D"/>
    <w:rsid w:val="2A053397"/>
    <w:rsid w:val="2D1136DF"/>
    <w:rsid w:val="31C63837"/>
    <w:rsid w:val="37116BC4"/>
    <w:rsid w:val="3D5275AC"/>
    <w:rsid w:val="46901EEE"/>
    <w:rsid w:val="469C74D2"/>
    <w:rsid w:val="50DB5F45"/>
    <w:rsid w:val="69AD798C"/>
    <w:rsid w:val="6B68175F"/>
    <w:rsid w:val="72615F37"/>
    <w:rsid w:val="73FB6630"/>
    <w:rsid w:val="77ED6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1031</Words>
  <Characters>5881</Characters>
  <Lines>49</Lines>
  <Paragraphs>13</Paragraphs>
  <TotalTime>0</TotalTime>
  <ScaleCrop>false</ScaleCrop>
  <LinksUpToDate>false</LinksUpToDate>
  <CharactersWithSpaces>6899</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2020-09-08T14:04:00Z</dcterms:created>
  <dc:creator>GXR</dc:creator>
  <cp:lastModifiedBy>Administrator</cp:lastModifiedBy>
  <dcterms:modified xsi:type="dcterms:W3CDTF">2021-06-07T02:45:07Z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