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新疆喀什地区麦盖提县委政法委2019年度部门决算公开说明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1、指导督促政法各部门贯彻执行中共的路线、方针、政策和上级指示及同级党委、政府的工作部署，统一政法各部门的思想和行动。</w:t>
      </w:r>
    </w:p>
    <w:p>
      <w:pPr>
        <w:ind w:firstLine="480"/>
        <w:jc w:val="both"/>
      </w:pPr>
      <w:r>
        <w:rPr>
          <w:rFonts w:ascii="仿宋_GB2312" w:hAnsi="仿宋_GB2312" w:eastAsia="仿宋_GB2312" w:cs="仿宋_GB2312"/>
          <w:b w:val="0"/>
          <w:sz w:val="32"/>
        </w:rPr>
        <w:t>2、定期分析社会治安形势，对一定时期本地的政法工作作出全面部署。</w:t>
      </w:r>
    </w:p>
    <w:p>
      <w:pPr>
        <w:ind w:firstLine="480"/>
        <w:jc w:val="both"/>
      </w:pPr>
      <w:r>
        <w:rPr>
          <w:rFonts w:ascii="仿宋_GB2312" w:hAnsi="仿宋_GB2312" w:eastAsia="仿宋_GB2312" w:cs="仿宋_GB2312"/>
          <w:b w:val="0"/>
          <w:sz w:val="32"/>
        </w:rPr>
        <w:t>3、组织推动政法部门开展新形势下加强和改革政法工作的调查研究，及时向同级党委提出建议和意见。</w:t>
      </w:r>
    </w:p>
    <w:p>
      <w:pPr>
        <w:ind w:firstLine="480"/>
        <w:jc w:val="both"/>
      </w:pPr>
      <w:r>
        <w:rPr>
          <w:rFonts w:ascii="仿宋_GB2312" w:hAnsi="仿宋_GB2312" w:eastAsia="仿宋_GB2312" w:cs="仿宋_GB2312"/>
          <w:b w:val="0"/>
          <w:sz w:val="32"/>
        </w:rPr>
        <w:t>4、指导社会治安综合治理，协调各部门落实社会治安综合治理各项措施。</w:t>
      </w:r>
    </w:p>
    <w:p>
      <w:pPr>
        <w:ind w:firstLine="480"/>
        <w:jc w:val="both"/>
      </w:pPr>
      <w:r>
        <w:rPr>
          <w:rFonts w:ascii="仿宋_GB2312" w:hAnsi="仿宋_GB2312" w:eastAsia="仿宋_GB2312" w:cs="仿宋_GB2312"/>
          <w:b w:val="0"/>
          <w:sz w:val="32"/>
        </w:rPr>
        <w:t>5、切实履行政法委职能，抓好执法督促工作，支持和督促政法各部门依法行使职权，协调政法各部门的关系，重大业务问题和有争议的重大疑难案件。</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新疆喀什地区麦盖提县委政法委2019年度，实有人数28人，其中：在职人员26人，离休人员0人，退休人员2人。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从部门决算单位构成看，新疆喀什地区麦盖提县委政法委部门决算包括：新疆喀什地区麦盖提县委政法委决算。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955.90万元，与上年相比，减少704.33万元，下降42.42%，主要原因是：财政拨付存量资金较去年大幅减少。本年支出955.90万元，与上年相比，减少704.33万元，下降42.42%，主要原因是：财政拨付存量资金较去年大幅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2019年度本年收入955.90万元，其中：财政拨款收入857.40万元，占89.7%；上级补助收入0万元，占0%；事业收入0万元，占0%；经营收入0万元，占0%；附属单位上缴收入0万元，占0%；其他收入98.50万元，占10.3%。</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2019年度本年支出955.90万元，其中：基本支出838.54万元，占87.72%；项目支出117.36万元，占12.28%；上缴上级支出0万元，占0%；经营支出0万元，占0%；对附属单位补助支出0万元，占0%。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2019年度财政拨款收入857.40万元，与上年相比，增加61.55万元，增长7.73%，主要原因是：项目资金较去年增加。财政拨款支出857.40万元，与上年相比，增加61.55万元，增长7.73%，主要原因是：项目资金较去年增加。</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343.06万元，决算数857.40万元，预决算差异率149.93%，主要原因是：年初预算只有本级项目以及预告知的项目，后期到达的部分专项资金通过预算追加下达，因此决算数大于年初预算数。财政拨款支出年初预算数343.06万元，决算数857.40万元，预决算差异率149.93%，主要原因是：年初预算只有本级项目以及预告知的项目，后期到达的部分专项资金通过预算追加下达，因此决算数大于年初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2019年度一般公共预算财政拨款支出857.40万元。按功能分类科目项级科目公开，其中：</w:t>
      </w:r>
    </w:p>
    <w:p>
      <w:pPr>
        <w:ind w:firstLine="480"/>
        <w:jc w:val="both"/>
      </w:pPr>
      <w:r>
        <w:rPr>
          <w:rFonts w:ascii="仿宋_GB2312" w:hAnsi="仿宋_GB2312" w:eastAsia="仿宋_GB2312" w:cs="仿宋_GB2312"/>
          <w:b w:val="0"/>
          <w:sz w:val="32"/>
        </w:rPr>
        <w:t xml:space="preserve">   2013101行政运行支出777.37万元；</w:t>
      </w:r>
    </w:p>
    <w:p>
      <w:pPr>
        <w:ind w:firstLine="480"/>
        <w:jc w:val="both"/>
      </w:pPr>
      <w:r>
        <w:rPr>
          <w:rFonts w:ascii="仿宋_GB2312" w:hAnsi="仿宋_GB2312" w:eastAsia="仿宋_GB2312" w:cs="仿宋_GB2312"/>
          <w:b w:val="0"/>
          <w:sz w:val="32"/>
        </w:rPr>
        <w:t xml:space="preserve">   2013102一般行政管理事务支出0.60万元；</w:t>
      </w:r>
    </w:p>
    <w:p>
      <w:pPr>
        <w:ind w:firstLine="480"/>
        <w:jc w:val="both"/>
      </w:pPr>
      <w:r>
        <w:rPr>
          <w:rFonts w:ascii="仿宋_GB2312" w:hAnsi="仿宋_GB2312" w:eastAsia="仿宋_GB2312" w:cs="仿宋_GB2312"/>
          <w:b w:val="0"/>
          <w:sz w:val="32"/>
        </w:rPr>
        <w:t xml:space="preserve">   2013199其他党委办公厅（室）及相关机构事务支出14.55万元；</w:t>
      </w:r>
    </w:p>
    <w:p>
      <w:pPr>
        <w:ind w:firstLine="480"/>
        <w:jc w:val="both"/>
      </w:pPr>
      <w:r>
        <w:rPr>
          <w:rFonts w:ascii="仿宋_GB2312" w:hAnsi="仿宋_GB2312" w:eastAsia="仿宋_GB2312" w:cs="仿宋_GB2312"/>
          <w:b w:val="0"/>
          <w:sz w:val="32"/>
        </w:rPr>
        <w:t xml:space="preserve">   2049901其他公共安全支出3.71万元；</w:t>
      </w:r>
    </w:p>
    <w:p>
      <w:pPr>
        <w:ind w:firstLine="480"/>
        <w:jc w:val="both"/>
      </w:pPr>
      <w:r>
        <w:rPr>
          <w:rFonts w:ascii="仿宋_GB2312" w:hAnsi="仿宋_GB2312" w:eastAsia="仿宋_GB2312" w:cs="仿宋_GB2312"/>
          <w:b w:val="0"/>
          <w:sz w:val="32"/>
        </w:rPr>
        <w:t xml:space="preserve">   2080505机关事业单位基本养老保险缴费支出34.24万元；</w:t>
      </w:r>
    </w:p>
    <w:p>
      <w:pPr>
        <w:ind w:firstLine="480"/>
        <w:jc w:val="both"/>
      </w:pPr>
      <w:r>
        <w:rPr>
          <w:rFonts w:ascii="仿宋_GB2312" w:hAnsi="仿宋_GB2312" w:eastAsia="仿宋_GB2312" w:cs="仿宋_GB2312"/>
          <w:b w:val="0"/>
          <w:sz w:val="32"/>
        </w:rPr>
        <w:t xml:space="preserve">   2210201住房公积金支出26.93万元。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2019年度一般公共预算财政拨款基本支出838.54万元，其中：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353.24万元，包括：基本工资、津贴补贴、奖金、机关事业单位基本养老保险缴费、职工基本医疗保险缴费、公务员医疗补助缴费、其他社会保障缴费、住房公积金、其他工资福利支出、退休费、抚恤金、生活补助、其他对个人</w:t>
      </w:r>
      <w:bookmarkStart w:id="54" w:name="_GoBack"/>
      <w:bookmarkEnd w:id="54"/>
      <w:r>
        <w:rPr>
          <w:rFonts w:ascii="仿宋_GB2312" w:hAnsi="仿宋_GB2312" w:eastAsia="仿宋_GB2312" w:cs="仿宋_GB2312"/>
          <w:sz w:val="32"/>
        </w:rPr>
        <w:t>和家庭的补助。</w:t>
      </w:r>
    </w:p>
    <w:p>
      <w:pPr>
        <w:ind w:firstLine="640" w:firstLineChars="200"/>
        <w:rPr>
          <w:rFonts w:ascii="仿宋_GB2312" w:eastAsia="仿宋_GB2312"/>
          <w:sz w:val="32"/>
          <w:szCs w:val="32"/>
        </w:rPr>
      </w:pPr>
      <w:r>
        <w:rPr>
          <w:rFonts w:ascii="仿宋_GB2312" w:hAnsi="仿宋_GB2312" w:eastAsia="仿宋_GB2312" w:cs="仿宋_GB2312"/>
          <w:sz w:val="32"/>
        </w:rPr>
        <w:t>公用经费485.30万元，包括：办公费、印刷费、电费、邮电费、租赁费、公务用车运行维护费</w:t>
      </w:r>
      <w:r>
        <w:rPr>
          <w:rFonts w:hint="eastAsia" w:ascii="仿宋_GB2312" w:hAnsi="仿宋_GB2312" w:eastAsia="仿宋_GB2312" w:cs="仿宋_GB2312"/>
          <w:sz w:val="32"/>
          <w:lang w:val="en-US" w:eastAsia="zh-CN"/>
        </w:rPr>
        <w:t>、专用设备购置</w:t>
      </w:r>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21.63万元，比上年增加21.63万元，增长100%，主要原因是去年从非财政性资金开支车辆运行维护费，今年从财政拨款中开支，因此较去年增加。其中，因公出国（境）费支出0万元，占0%，比上年增加0万元，增长0%，主要原因是与上年相比无变动，与上年一致；公务用车购置及运行维护费支出21.63万元，占100%，比上年增加21.63万元，增长100%，主要原因是去年从非财政性资金开支车辆运行维护费，今年从财政拨款中开支，因此较去年增加；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因公出国（境）费支出0万元，开支内容包括：与上年相比无变动，与上年一致。单位全年安排的因公出国（境）团组0个，因公出国（境）0人次。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公务用车购置及运行维护费21.63万元，其中，公务用车购置费0万元，公务用车运行维护费21.63万元。公务用车运行维护费开支内容包括汽车油料、维护费、过路费。公务用车购置数0辆，公务用车保有量1辆。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3.12万元，决算数21.63万元，预决算差异率593.27%，主要原因是：迎接上级部门的督导次数较多，车辆运行维护费增加，预算追加经费，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21.63万元，预决算差异率593.27%，主要原因是：迎接上级部门的督导次数较多，车辆运行维护费增加，预算追加经费，因此决算数大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2019年度新疆喀什地区麦盖提县委政法委机关运行经费支出485.30万元，比上年减少13.61万元，降低2.73%，主要原因是信息网络及软件购置更新支出较去年减少。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2019年度政府采购支出总额109.78万元，其中：政府采购货物支出109.78万元、政府采购工程支出0万元、政府采购服务支出0万元。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授予中小企业合同金额109.78万元，占政府采购支出总额的100%，其中：授予小微企业合同金额109.78万元，占政府采购支出总额的100%。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辆，价值24.50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3个，共涉及资金946.56万元。预算绩效管理取得的成效：1、促和谐、促安定先进居民补贴：保证安全隐患联查联控、有害思想联防联治、其他联管联教、矛盾问题联排联调、民族团结问题联创联建、群众活动联促联想，实现社会安定和长治久安奠定坚实基础，突出在安全隐患联查联控、有害思想联防联治、其他人员联管联教、矛盾问题联管联调、民族团结联创联建、群众活动联促联享等6项重点任务上用力。2、先进“维护社会和谐”奖励经费项目：根据《自治区社会治安综合治理委员会自治区党委组织部关于创建表彰先进“促和谐居民”的通知》等相关文件精神，提高先进“促和谐居民”参与安全工作的积极性，对“促和谐居民”进行表彰，以实现维护社会安定，社会长治久安的总目标而努力。3、其他专项运转经费：保障本级单位的公务用车的出行保障率，保障办公场所的用电环境，普及干部群众的扫黑意识，促进民族团结问题联创联建、群众活动联促联想，实现社会安定和长治久安奠定坚实基础。发现的问题及原因：一是需进一步提高预算的前瞻性，细化预算编制；二是需进一步加强预算绩效组织体系的建设。下一步改进措施：一是不断加强管理，细化预算，进一步从源头细化、编准、编实预算，努力做到预算制度与政策细化，预算项目和资金精细，预算编制和执行精细。二是不断加强预算绩效组织体系建设，成立预算绩效管理工作领导小组，安排专人负责绩效目标管理与绩效评价。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61E2A8F"/>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10</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2021-06-07T02:48:16Z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