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新疆喀什地区麦盖提县应急管理局2019年度部门决算公开说明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组织起草麦盖提县安全生产规范性文件，拟定全县安全生产工作规划和计划；参与研究有关部门在产业政策、资金投入、科技发展等工作中涉及安全生产的相关工作；负责全县安全生产伤亡事故统计工作，分析和预测全县安全生产形势，发布全县安全生产信息；指导协调全县安全生产工作，协调解决安全生产中的重大问题。</w:t>
      </w:r>
    </w:p>
    <w:p>
      <w:pPr>
        <w:ind w:firstLine="480"/>
        <w:jc w:val="both"/>
      </w:pPr>
      <w:r>
        <w:rPr>
          <w:rFonts w:ascii="仿宋_GB2312" w:hAnsi="仿宋_GB2312" w:eastAsia="仿宋_GB2312" w:cs="仿宋_GB2312"/>
          <w:b w:val="0"/>
          <w:sz w:val="32"/>
        </w:rPr>
        <w:t>2、承担麦盖提县安全生产综合监督管理责任，依法行使综合监督管理职权，指导协调、监督检查政府有关部门和各乡（镇）人民政府安全生产工作，监督并通报有关安全生产控制指标执行情况，监督事故查处和责任追究落实情况。</w:t>
      </w:r>
    </w:p>
    <w:p>
      <w:pPr>
        <w:ind w:firstLine="480"/>
        <w:jc w:val="both"/>
      </w:pPr>
      <w:r>
        <w:rPr>
          <w:rFonts w:ascii="仿宋_GB2312" w:hAnsi="仿宋_GB2312" w:eastAsia="仿宋_GB2312" w:cs="仿宋_GB2312"/>
          <w:b w:val="0"/>
          <w:sz w:val="32"/>
        </w:rPr>
        <w:t>3、承担麦盖提县工矿商贸企业安全生产监督管理责任，按照分级、属地原则，依法监督检查工矿商贸生产经营单位贯彻执行安全生产法律法规情况及其安全生产条件和有关设备（特种设备除外）、材料、劳动防护用品的安全生产管理工作。</w:t>
      </w:r>
    </w:p>
    <w:p>
      <w:pPr>
        <w:ind w:firstLine="480"/>
        <w:jc w:val="both"/>
      </w:pPr>
      <w:r>
        <w:rPr>
          <w:rFonts w:ascii="仿宋_GB2312" w:hAnsi="仿宋_GB2312" w:eastAsia="仿宋_GB2312" w:cs="仿宋_GB2312"/>
          <w:b w:val="0"/>
          <w:sz w:val="32"/>
        </w:rPr>
        <w:t>4、承担麦盖提县非煤矿矿山企业，危险化学品经营企业，烟花爆竹经营企业安全生产准入管理责任，依法组织并指导监督实施安全生产、经营许可证的颁发管理工作。负责非煤矿矿山、危险化学品、烟花爆竹企业安全生产监督管理工作。</w:t>
      </w:r>
    </w:p>
    <w:p>
      <w:pPr>
        <w:ind w:firstLine="480"/>
        <w:jc w:val="both"/>
      </w:pPr>
      <w:r>
        <w:rPr>
          <w:rFonts w:ascii="仿宋_GB2312" w:hAnsi="仿宋_GB2312" w:eastAsia="仿宋_GB2312" w:cs="仿宋_GB2312"/>
          <w:b w:val="0"/>
          <w:sz w:val="32"/>
        </w:rPr>
        <w:t>5、承担麦盖提县工矿商贸企业作业场所职业卫生监督检查责任，负责职业卫生安全许可证的颁发管理工作，组织查处职业危害事故和违法违规行为。</w:t>
      </w:r>
    </w:p>
    <w:p>
      <w:pPr>
        <w:ind w:firstLine="480"/>
        <w:jc w:val="both"/>
      </w:pPr>
      <w:r>
        <w:rPr>
          <w:rFonts w:ascii="仿宋_GB2312" w:hAnsi="仿宋_GB2312" w:eastAsia="仿宋_GB2312" w:cs="仿宋_GB2312"/>
          <w:b w:val="0"/>
          <w:sz w:val="32"/>
        </w:rPr>
        <w:t>6、健全完善麦盖提县工矿商贸行业安全生产规章制度并组织实施，监督检查重大危险源监控和重大事故隐患排查治理工作，依法查处不具备安全生产条件的工矿商贸生产经营单位。</w:t>
      </w:r>
    </w:p>
    <w:p>
      <w:pPr>
        <w:ind w:firstLine="480"/>
        <w:jc w:val="both"/>
      </w:pPr>
      <w:r>
        <w:rPr>
          <w:rFonts w:ascii="仿宋_GB2312" w:hAnsi="仿宋_GB2312" w:eastAsia="仿宋_GB2312" w:cs="仿宋_GB2312"/>
          <w:b w:val="0"/>
          <w:sz w:val="32"/>
        </w:rPr>
        <w:t>7、负责组织麦盖提县安全生产大检查和专项督查，依法组织麦盖提县一般事故调查处理和办理结案工作，监督事故查处和责任追究落实情况。</w:t>
      </w:r>
    </w:p>
    <w:p>
      <w:pPr>
        <w:ind w:firstLine="480"/>
        <w:jc w:val="both"/>
      </w:pPr>
      <w:r>
        <w:rPr>
          <w:rFonts w:ascii="仿宋_GB2312" w:hAnsi="仿宋_GB2312" w:eastAsia="仿宋_GB2312" w:cs="仿宋_GB2312"/>
          <w:b w:val="0"/>
          <w:sz w:val="32"/>
        </w:rPr>
        <w:t>8、负责组织、协调麦盖提县安全生产应急救援工作，综合管理全县生产安全伤亡事故和安全生产行政执法统计分析工作。</w:t>
      </w:r>
    </w:p>
    <w:p>
      <w:pPr>
        <w:ind w:firstLine="480"/>
        <w:jc w:val="both"/>
      </w:pPr>
      <w:r>
        <w:rPr>
          <w:rFonts w:ascii="仿宋_GB2312" w:hAnsi="仿宋_GB2312" w:eastAsia="仿宋_GB2312" w:cs="仿宋_GB2312"/>
          <w:b w:val="0"/>
          <w:sz w:val="32"/>
        </w:rPr>
        <w:t>9、负责监督检查职责范围内新建、改建、扩建工程项目的安全设施与主体工程同时设计、同时施工、同时投产使用情况。</w:t>
      </w:r>
    </w:p>
    <w:p>
      <w:pPr>
        <w:ind w:firstLine="480"/>
        <w:jc w:val="both"/>
      </w:pPr>
      <w:r>
        <w:rPr>
          <w:rFonts w:ascii="仿宋_GB2312" w:hAnsi="仿宋_GB2312" w:eastAsia="仿宋_GB2312" w:cs="仿宋_GB2312"/>
          <w:b w:val="0"/>
          <w:sz w:val="32"/>
        </w:rPr>
        <w:t>10、负责全县安全生产宣传教育工作。依法组织、指导安全生产监督管理人员的安全培训、考核工作。组织指导并监督特种作业人员（特种设备作业人员除外）的安全培训、考核、发证工作和工矿商贸生产经营单位主要负责人、安全生产管理人员的安全资格考核、发证工作，监督检查工矿商贸生产经营单位安全生产和职业安全培训工作。</w:t>
      </w:r>
    </w:p>
    <w:p>
      <w:pPr>
        <w:ind w:firstLine="480"/>
        <w:jc w:val="both"/>
      </w:pPr>
      <w:r>
        <w:rPr>
          <w:rFonts w:ascii="仿宋_GB2312" w:hAnsi="仿宋_GB2312" w:eastAsia="仿宋_GB2312" w:cs="仿宋_GB2312"/>
          <w:b w:val="0"/>
          <w:sz w:val="32"/>
        </w:rPr>
        <w:t>11、指导协调麦盖提县安全生产检测检验工作，依法对麦盖提县工矿商贸生产经营单位安全生产条件、劳动防护用品和有关设备设施（特种设备除外）进行检测检验。承担安全生产社会中介机构、安全评价、劳动防护用品和安全标志的监督管理工作。负责劳动防护用品监督管理工作。</w:t>
      </w:r>
    </w:p>
    <w:p>
      <w:pPr>
        <w:ind w:firstLine="480"/>
        <w:jc w:val="both"/>
      </w:pPr>
      <w:r>
        <w:rPr>
          <w:rFonts w:ascii="仿宋_GB2312" w:hAnsi="仿宋_GB2312" w:eastAsia="仿宋_GB2312" w:cs="仿宋_GB2312"/>
          <w:b w:val="0"/>
          <w:sz w:val="32"/>
        </w:rPr>
        <w:t>12、组织指导协调和监督麦盖提县安全生产行政执法工作。</w:t>
      </w:r>
    </w:p>
    <w:p>
      <w:pPr>
        <w:ind w:firstLine="480"/>
        <w:jc w:val="both"/>
      </w:pPr>
      <w:r>
        <w:rPr>
          <w:rFonts w:ascii="仿宋_GB2312" w:hAnsi="仿宋_GB2312" w:eastAsia="仿宋_GB2312" w:cs="仿宋_GB2312"/>
          <w:b w:val="0"/>
          <w:sz w:val="32"/>
        </w:rPr>
        <w:t>13、研究拟订麦盖提县安全生产规划、科技规划及其它专项规划，协调有关部门、单位实施安全生产规划工作。</w:t>
      </w:r>
    </w:p>
    <w:p>
      <w:pPr>
        <w:ind w:firstLine="480"/>
        <w:jc w:val="both"/>
      </w:pPr>
      <w:r>
        <w:rPr>
          <w:rFonts w:ascii="仿宋_GB2312" w:hAnsi="仿宋_GB2312" w:eastAsia="仿宋_GB2312" w:cs="仿宋_GB2312"/>
          <w:b w:val="0"/>
          <w:sz w:val="32"/>
        </w:rPr>
        <w:t>14、承担麦盖提县安全生产委员会的具体工作。承办麦盖提县安全生产委员会召开的会议和重要活动督促检查麦盖提县安全生产委员会会议决定事项的贯彻落实等情况。组织开展安全生产方面的交流与合作。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新疆喀什地区麦盖提县应急管理局2019年度，实有人数15人，其中：在职人员14人，离休人员0人，退休人员1人。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从部门决算单位构成看，新疆喀什地区麦盖提县应急管理局部门决算包括：新疆喀什地区麦盖提县应急管理局决算。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163.55万元，与上年相比，增加8.92万元，增长5.77%，主要原因是：涉改单位，其他单位部分职能并入我局，同时本年新增3人，相应财政资金增加。本年支出163.55万元，与上年相比，增加8.92万元，增长5.77%，主要原因是：涉改单位，其他单位部分职能并入我局，同时本年新增3人，相应财政资金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2019年度本年收入163.55万元，其中：财政拨款收入163.55万元，占100%；上级补助收入0万元，占0%；事业收入0万元，占0%；经营收入0万元，占0%；附属单位上缴收入0万元，占0%；其他收入0万元，占0%。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2019年度本年支出163.55万元，其中：基本支出163.55万元，占100%；项目支出0万元，占0%；上缴上级支出0万元，占0%；经营支出0万元，占0%；对附属单位补助支出0万元，占0%。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163.55万元，与上年相比，增加15.92万元，增长10.78%，主要原因是：涉改单位，其他单位部分职能并入我局，同时本年新增3人，相应财政资金增加。财政拨款支出163.55万元，与上年相比，增加15.92万元，增长10.78%，主要原因是：涉改单位，其他单位部分职能并入我局，同时本年新增3人，相应财政资金增加。</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153.91万元，决算数163.55万元，预决算差异率6.26%，主要原因是：新增3人，追加资金，因此决算数大于年初预算数。财政拨款支出年初预算数153.91万元，决算数163.55万元，预决算差异率6.26%，主要原因是：新增3人，追加资金，因此决算数大于年初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2019年度一般公共预算财政拨款支出163.55万元。按功能分类科目项级科目公开，其中：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2080505机关事业单位基本养老保险缴费支出16.13万元；</w:t>
      </w:r>
    </w:p>
    <w:p>
      <w:pPr>
        <w:ind w:firstLine="480"/>
        <w:jc w:val="both"/>
      </w:pPr>
      <w:r>
        <w:rPr>
          <w:rFonts w:ascii="仿宋_GB2312" w:hAnsi="仿宋_GB2312" w:eastAsia="仿宋_GB2312" w:cs="仿宋_GB2312"/>
          <w:b w:val="0"/>
          <w:sz w:val="32"/>
        </w:rPr>
        <w:t xml:space="preserve">   2210201住房公积金支出12.65万元；</w:t>
      </w:r>
    </w:p>
    <w:p>
      <w:pPr>
        <w:ind w:firstLine="480"/>
        <w:jc w:val="both"/>
      </w:pPr>
      <w:r>
        <w:rPr>
          <w:rFonts w:ascii="仿宋_GB2312" w:hAnsi="仿宋_GB2312" w:eastAsia="仿宋_GB2312" w:cs="仿宋_GB2312"/>
          <w:b w:val="0"/>
          <w:sz w:val="32"/>
        </w:rPr>
        <w:t xml:space="preserve">   2240101行政运行支出134.77万元。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2019年度一般公共预算财政拨款基本支出163.55万元，其中：</w:t>
      </w:r>
      <w:bookmarkStart w:id="54" w:name="_GoBack"/>
      <w:bookmarkEnd w:id="54"/>
    </w:p>
    <w:p>
      <w:pPr>
        <w:ind w:firstLine="640" w:firstLineChars="200"/>
        <w:rPr>
          <w:rFonts w:ascii="仿宋_GB2312" w:eastAsia="仿宋_GB2312"/>
          <w:sz w:val="32"/>
          <w:szCs w:val="32"/>
        </w:rPr>
      </w:pPr>
      <w:r>
        <w:rPr>
          <w:rFonts w:ascii="仿宋_GB2312" w:hAnsi="仿宋_GB2312" w:eastAsia="仿宋_GB2312" w:cs="仿宋_GB2312"/>
          <w:sz w:val="32"/>
        </w:rPr>
        <w:t>人员经费154.65万元，包括：基本工资、津贴补贴、奖金、机关事业单位基本养老保险缴费、职工基本医疗保险缴费、公务员医疗补助缴费、其他社会保障缴费、住房公积金、退休费、奖励金。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公用经费8.90万元，包括：办公费、手续费、邮电费、维修（护）费、租赁费、劳务费、公务用车运行维护费</w:t>
      </w:r>
      <w:r>
        <w:rPr>
          <w:rFonts w:hint="eastAsia" w:ascii="仿宋_GB2312" w:hAnsi="仿宋_GB2312" w:eastAsia="仿宋_GB2312" w:cs="仿宋_GB2312"/>
          <w:sz w:val="32"/>
          <w:lang w:eastAsia="zh-CN"/>
        </w:rPr>
        <w:t>、办公设备购置</w:t>
      </w:r>
      <w:r>
        <w:rPr>
          <w:rFonts w:ascii="仿宋_GB2312" w:hAnsi="仿宋_GB2312" w:eastAsia="仿宋_GB2312" w:cs="仿宋_GB2312"/>
          <w:sz w:val="32"/>
        </w:rPr>
        <w:t>。</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1.36万元，比上年减少3.53万元，降低72.19%，主要原因是厉行节约，压缩“三公”经费开支。其中，因公出国（境）费支出0万元，占0%，比上年增加0万元，增长0%，主要原因是与上年相比无变动，与上年一致；公务用车购置及运行维护费支出1.36万元，占100%，比上年减少3.53万元，降低72.19%，主要原因是厉行节约，压缩“三公”经费开支；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1.36万元，其中，公务用车购置费0万元，公务用车运行维护费1.36万元。公务用车运行维护费开支内容包括燃油费、修理费、过路过桥费、保险等。公务用车购置数0辆，公务用车保有量1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1.56万元，决算数1.36万元，预决算差异率-12.82%，主要原因是：厉行节约，压缩“三公”经费开支，实际产生的车辆运行维护费小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1.36万元，预决算差异率-12.82%，主要原因是：厉行节约，压缩“三公”经费开支，实际产生的车辆运行维护费小于年初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2019年度新疆喀什地区麦盖提县应急管理局机关运行经费支出8.90万元，比上年减少1.08万元，降低10.82%，主要原因是节约经费，压缩一切不必要开支，因此日常公用开支较去年减少。</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1辆，价值21.40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1个，共涉及资金645.75万元。预算绩效管理取得的成效：该2019年未实施。发现的问题及原因：该项目资金为2019年结转资金，项目实施开始时间为2020年1月，项目将于2020年继续实施。下一步改进措施：今后加强冬春救助专项资金申请，及时编写实施方案，并对各项指标和指标值的设定要进一步优化、完善。严格执行专项资金管理办法和财政资金管理制度，按照项目实施方案、项目进度表严格执行，稳步推进，加快项目实施、验收和移交，使项目尽快投入运行。加强后续的管理工作，按照项目的可持续性，最大限度发挥项目的效益。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0BD1718C"/>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10</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2021-06-07T02:51:16Z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