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新疆喀什地区麦盖提县希依提墩乡人民政府2019年度部门决算公开说明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1、贯彻执行党的路线、方针、政策和上级党委决定、决议，研究本乡镇重大问题的意见，建议和决定。</w:t>
      </w:r>
    </w:p>
    <w:p>
      <w:pPr>
        <w:ind w:firstLine="480"/>
        <w:jc w:val="both"/>
      </w:pPr>
      <w:r>
        <w:rPr>
          <w:rFonts w:ascii="仿宋_GB2312" w:hAnsi="仿宋_GB2312" w:cs="仿宋_GB2312" w:eastAsia="仿宋_GB2312"/>
          <w:b w:val="false"/>
          <w:sz w:val="32"/>
        </w:rPr>
        <w:t>2、抓好党的思想建设、组织建设、作风建设和廉政建设。</w:t>
      </w:r>
    </w:p>
    <w:p>
      <w:pPr>
        <w:ind w:firstLine="480"/>
        <w:jc w:val="both"/>
      </w:pPr>
      <w:r>
        <w:rPr>
          <w:rFonts w:ascii="仿宋_GB2312" w:hAnsi="仿宋_GB2312" w:cs="仿宋_GB2312" w:eastAsia="仿宋_GB2312"/>
          <w:b w:val="false"/>
          <w:sz w:val="32"/>
        </w:rPr>
        <w:t>3、负责辖区内社会治安综合治理、安全生产、信访、计划生育、扶贫救济、卫生医疗健康教育关心下一代等工作。</w:t>
      </w:r>
    </w:p>
    <w:p>
      <w:pPr>
        <w:ind w:firstLine="480"/>
        <w:jc w:val="both"/>
      </w:pPr>
      <w:r>
        <w:rPr>
          <w:rFonts w:ascii="仿宋_GB2312" w:hAnsi="仿宋_GB2312" w:cs="仿宋_GB2312" w:eastAsia="仿宋_GB2312"/>
          <w:b w:val="false"/>
          <w:sz w:val="32"/>
        </w:rPr>
        <w:t>4、实行公开办事制度、工作人员依法办事、密切联系群众、接受群众监督。</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新疆喀什地区麦盖提县希依提墩乡人民政府2019年度，实有人数123人，其中：在职人员103人，离休人员0人，退休人员20人。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从部门决算单位构成看，新疆喀什地区麦盖提县希依提墩乡人民政府部门决算包括：新疆喀什地区麦盖提县希依提墩乡人民政府决算。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2019年度本年收入4,145.14万元，与上年相比，减少6,659.36万元，下降61.64%，主要原因是：其他收入较去年减少。本年支出5,683.97万元，与上年相比，减少3,016.58万元，下降34.67%，主要原因是：其他收入较去年减少。</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2019年度本年收入4,145.14万元，其中：财政拨款收入4,066.29万元，占98.1%；上级补助收入0万元，占0%；事业收入0万元，占0%；经营收入0万元，占0%；附属单位上缴收入0万元，占0%；其他收入78.85万元，占1.9%。</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2019年度本年支出5,683.97万元，其中：基本支出1,505.24万元，占26.48%；项目支出4,178.74万元，占73.52%；上缴上级支出0万元，占0%；经营支出0万元，占0%；对附属单位补助支出0万元，占0%。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4,066.29万元，与上年相比，减少1,345.74万元，下降24.87%，主要原因是：上级专项资金较去年减少。财政拨款支出4,178.61万元，与上年相比，减少1,066.15万元，下降20.33%，主要原因是：上级专项资金较去年减少。</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1,931.27万元，决算数4,066.29万元，预决算差异率110.55%，主要原因是：年初预算只有本级项目以及预告知的项目，后期到达的部分专项资金通过预算追加下达，因此决算数大于年初预算数。财政拨款支出年初预算数1,931.27万元，决算数4,178.61万元，预决算差异率116.37%，主要原因是：年初预算只有本级项目以及预告知的项目，后期到达的部分专项资金通过预算追加下达，因此决算数大于年初预算数。</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2019年度一般公共预算财政拨款支出4,173.71万元。按功能分类科目项级科目公开，其中：</w:t>
      </w:r>
    </w:p>
    <w:p>
      <w:pPr>
        <w:ind w:firstLine="480"/>
        <w:jc w:val="both"/>
      </w:pPr>
      <w:r>
        <w:rPr>
          <w:rFonts w:ascii="仿宋_GB2312" w:hAnsi="仿宋_GB2312" w:cs="仿宋_GB2312" w:eastAsia="仿宋_GB2312"/>
          <w:b w:val="false"/>
          <w:sz w:val="32"/>
        </w:rPr>
        <w:t xml:space="preserve">   2010301行政运行支出837.93万元；</w:t>
      </w:r>
    </w:p>
    <w:p>
      <w:pPr>
        <w:ind w:firstLine="480"/>
        <w:jc w:val="both"/>
      </w:pPr>
      <w:r>
        <w:rPr>
          <w:rFonts w:ascii="仿宋_GB2312" w:hAnsi="仿宋_GB2312" w:cs="仿宋_GB2312" w:eastAsia="仿宋_GB2312"/>
          <w:b w:val="false"/>
          <w:sz w:val="32"/>
        </w:rPr>
        <w:t xml:space="preserve">   2010601行政运行支出20.14万元；</w:t>
      </w:r>
    </w:p>
    <w:p>
      <w:pPr>
        <w:ind w:firstLine="480"/>
        <w:jc w:val="both"/>
      </w:pPr>
      <w:r>
        <w:rPr>
          <w:rFonts w:ascii="仿宋_GB2312" w:hAnsi="仿宋_GB2312" w:cs="仿宋_GB2312" w:eastAsia="仿宋_GB2312"/>
          <w:b w:val="false"/>
          <w:sz w:val="32"/>
        </w:rPr>
        <w:t xml:space="preserve">   2011001行政运行支出43.05万元；</w:t>
      </w:r>
    </w:p>
    <w:p>
      <w:pPr>
        <w:ind w:firstLine="480"/>
        <w:jc w:val="both"/>
      </w:pPr>
      <w:r>
        <w:rPr>
          <w:rFonts w:ascii="仿宋_GB2312" w:hAnsi="仿宋_GB2312" w:cs="仿宋_GB2312" w:eastAsia="仿宋_GB2312"/>
          <w:b w:val="false"/>
          <w:sz w:val="32"/>
        </w:rPr>
        <w:t xml:space="preserve">   2011102一般行政管理事务支出5万元；</w:t>
      </w:r>
    </w:p>
    <w:p>
      <w:pPr>
        <w:ind w:firstLine="480"/>
        <w:jc w:val="both"/>
      </w:pPr>
      <w:r>
        <w:rPr>
          <w:rFonts w:ascii="仿宋_GB2312" w:hAnsi="仿宋_GB2312" w:cs="仿宋_GB2312" w:eastAsia="仿宋_GB2312"/>
          <w:b w:val="false"/>
          <w:sz w:val="32"/>
        </w:rPr>
        <w:t xml:space="preserve">   2013101行政运行支出81.35万元；</w:t>
      </w:r>
    </w:p>
    <w:p>
      <w:pPr>
        <w:ind w:firstLine="480"/>
        <w:jc w:val="both"/>
      </w:pPr>
      <w:r>
        <w:rPr>
          <w:rFonts w:ascii="仿宋_GB2312" w:hAnsi="仿宋_GB2312" w:cs="仿宋_GB2312" w:eastAsia="仿宋_GB2312"/>
          <w:b w:val="false"/>
          <w:sz w:val="32"/>
        </w:rPr>
        <w:t xml:space="preserve">   2013299其他组织事务支出713.76万元；</w:t>
      </w:r>
    </w:p>
    <w:p>
      <w:pPr>
        <w:ind w:firstLine="480"/>
        <w:jc w:val="both"/>
      </w:pPr>
      <w:r>
        <w:rPr>
          <w:rFonts w:ascii="仿宋_GB2312" w:hAnsi="仿宋_GB2312" w:cs="仿宋_GB2312" w:eastAsia="仿宋_GB2312"/>
          <w:b w:val="false"/>
          <w:sz w:val="32"/>
        </w:rPr>
        <w:t xml:space="preserve">   2013499其他统战事务支出63.19万元；</w:t>
      </w:r>
    </w:p>
    <w:p>
      <w:pPr>
        <w:ind w:firstLine="480"/>
        <w:jc w:val="both"/>
      </w:pPr>
      <w:r>
        <w:rPr>
          <w:rFonts w:ascii="仿宋_GB2312" w:hAnsi="仿宋_GB2312" w:cs="仿宋_GB2312" w:eastAsia="仿宋_GB2312"/>
          <w:b w:val="false"/>
          <w:sz w:val="32"/>
        </w:rPr>
        <w:t xml:space="preserve">   2040601行政运行支出11.29万元；</w:t>
      </w:r>
    </w:p>
    <w:p>
      <w:pPr>
        <w:ind w:firstLine="480"/>
        <w:jc w:val="both"/>
      </w:pPr>
      <w:r>
        <w:rPr>
          <w:rFonts w:ascii="仿宋_GB2312" w:hAnsi="仿宋_GB2312" w:cs="仿宋_GB2312" w:eastAsia="仿宋_GB2312"/>
          <w:b w:val="false"/>
          <w:sz w:val="32"/>
        </w:rPr>
        <w:t xml:space="preserve">   2049901其他公共安全支出3万元；</w:t>
      </w:r>
    </w:p>
    <w:p>
      <w:pPr>
        <w:ind w:firstLine="480"/>
        <w:jc w:val="both"/>
      </w:pPr>
      <w:r>
        <w:rPr>
          <w:rFonts w:ascii="仿宋_GB2312" w:hAnsi="仿宋_GB2312" w:cs="仿宋_GB2312" w:eastAsia="仿宋_GB2312"/>
          <w:b w:val="false"/>
          <w:sz w:val="32"/>
        </w:rPr>
        <w:t xml:space="preserve">   2050299其他普通教育支出5.40万元；</w:t>
      </w:r>
    </w:p>
    <w:p>
      <w:pPr>
        <w:ind w:firstLine="480"/>
        <w:jc w:val="both"/>
      </w:pPr>
      <w:r>
        <w:rPr>
          <w:rFonts w:ascii="仿宋_GB2312" w:hAnsi="仿宋_GB2312" w:cs="仿宋_GB2312" w:eastAsia="仿宋_GB2312"/>
          <w:b w:val="false"/>
          <w:sz w:val="32"/>
        </w:rPr>
        <w:t xml:space="preserve">   2070109群众文化支出22.95万元；</w:t>
      </w:r>
    </w:p>
    <w:p>
      <w:pPr>
        <w:ind w:firstLine="480"/>
        <w:jc w:val="both"/>
      </w:pPr>
      <w:r>
        <w:rPr>
          <w:rFonts w:ascii="仿宋_GB2312" w:hAnsi="仿宋_GB2312" w:cs="仿宋_GB2312" w:eastAsia="仿宋_GB2312"/>
          <w:b w:val="false"/>
          <w:sz w:val="32"/>
        </w:rPr>
        <w:t xml:space="preserve">   2070199其他文化和旅游支出5万元；</w:t>
      </w:r>
    </w:p>
    <w:p>
      <w:pPr>
        <w:ind w:firstLine="480"/>
        <w:jc w:val="both"/>
      </w:pPr>
      <w:r>
        <w:rPr>
          <w:rFonts w:ascii="仿宋_GB2312" w:hAnsi="仿宋_GB2312" w:cs="仿宋_GB2312" w:eastAsia="仿宋_GB2312"/>
          <w:b w:val="false"/>
          <w:sz w:val="32"/>
        </w:rPr>
        <w:t xml:space="preserve">   2070804广播支出22.23万元；</w:t>
      </w:r>
    </w:p>
    <w:p>
      <w:pPr>
        <w:ind w:firstLine="480"/>
        <w:jc w:val="both"/>
      </w:pPr>
      <w:r>
        <w:rPr>
          <w:rFonts w:ascii="仿宋_GB2312" w:hAnsi="仿宋_GB2312" w:cs="仿宋_GB2312" w:eastAsia="仿宋_GB2312"/>
          <w:b w:val="false"/>
          <w:sz w:val="32"/>
        </w:rPr>
        <w:t xml:space="preserve">   2079999其他文化体育与传媒支出5万元；</w:t>
      </w:r>
    </w:p>
    <w:p>
      <w:pPr>
        <w:ind w:firstLine="480"/>
        <w:jc w:val="both"/>
      </w:pPr>
      <w:r>
        <w:rPr>
          <w:rFonts w:ascii="仿宋_GB2312" w:hAnsi="仿宋_GB2312" w:cs="仿宋_GB2312" w:eastAsia="仿宋_GB2312"/>
          <w:b w:val="false"/>
          <w:sz w:val="32"/>
        </w:rPr>
        <w:t xml:space="preserve">   2080505机关事业单位基本养老保险缴费支出145.71万元；</w:t>
      </w:r>
    </w:p>
    <w:p>
      <w:pPr>
        <w:ind w:firstLine="480"/>
        <w:jc w:val="both"/>
      </w:pPr>
      <w:r>
        <w:rPr>
          <w:rFonts w:ascii="仿宋_GB2312" w:hAnsi="仿宋_GB2312" w:cs="仿宋_GB2312" w:eastAsia="仿宋_GB2312"/>
          <w:b w:val="false"/>
          <w:sz w:val="32"/>
        </w:rPr>
        <w:t xml:space="preserve">   2080799其他就业补助支出0万元；</w:t>
      </w:r>
    </w:p>
    <w:p>
      <w:pPr>
        <w:ind w:firstLine="480"/>
        <w:jc w:val="both"/>
      </w:pPr>
      <w:r>
        <w:rPr>
          <w:rFonts w:ascii="仿宋_GB2312" w:hAnsi="仿宋_GB2312" w:cs="仿宋_GB2312" w:eastAsia="仿宋_GB2312"/>
          <w:b w:val="false"/>
          <w:sz w:val="32"/>
        </w:rPr>
        <w:t xml:space="preserve">   2081099其他社会福利支出0.27万元；</w:t>
      </w:r>
    </w:p>
    <w:p>
      <w:pPr>
        <w:ind w:firstLine="480"/>
        <w:jc w:val="both"/>
      </w:pPr>
      <w:r>
        <w:rPr>
          <w:rFonts w:ascii="仿宋_GB2312" w:hAnsi="仿宋_GB2312" w:cs="仿宋_GB2312" w:eastAsia="仿宋_GB2312"/>
          <w:b w:val="false"/>
          <w:sz w:val="32"/>
        </w:rPr>
        <w:t xml:space="preserve">   2089901其他社会保障和就业支出154.72万元；</w:t>
      </w:r>
    </w:p>
    <w:p>
      <w:pPr>
        <w:ind w:firstLine="480"/>
        <w:jc w:val="both"/>
      </w:pPr>
      <w:r>
        <w:rPr>
          <w:rFonts w:ascii="仿宋_GB2312" w:hAnsi="仿宋_GB2312" w:cs="仿宋_GB2312" w:eastAsia="仿宋_GB2312"/>
          <w:b w:val="false"/>
          <w:sz w:val="32"/>
        </w:rPr>
        <w:t xml:space="preserve">   2100799其他计划生育事务支出47.27万元；</w:t>
      </w:r>
    </w:p>
    <w:p>
      <w:pPr>
        <w:ind w:firstLine="480"/>
        <w:jc w:val="both"/>
      </w:pPr>
      <w:r>
        <w:rPr>
          <w:rFonts w:ascii="仿宋_GB2312" w:hAnsi="仿宋_GB2312" w:cs="仿宋_GB2312" w:eastAsia="仿宋_GB2312"/>
          <w:b w:val="false"/>
          <w:sz w:val="32"/>
        </w:rPr>
        <w:t xml:space="preserve">   2130104事业运行支出140.75万元；</w:t>
      </w:r>
    </w:p>
    <w:p>
      <w:pPr>
        <w:ind w:firstLine="480"/>
        <w:jc w:val="both"/>
      </w:pPr>
      <w:r>
        <w:rPr>
          <w:rFonts w:ascii="仿宋_GB2312" w:hAnsi="仿宋_GB2312" w:cs="仿宋_GB2312" w:eastAsia="仿宋_GB2312"/>
          <w:b w:val="false"/>
          <w:sz w:val="32"/>
        </w:rPr>
        <w:t xml:space="preserve">   2130122农业生产支持补贴支出67.08万元；</w:t>
      </w:r>
    </w:p>
    <w:p>
      <w:pPr>
        <w:ind w:firstLine="480"/>
        <w:jc w:val="both"/>
      </w:pPr>
      <w:r>
        <w:rPr>
          <w:rFonts w:ascii="仿宋_GB2312" w:hAnsi="仿宋_GB2312" w:cs="仿宋_GB2312" w:eastAsia="仿宋_GB2312"/>
          <w:b w:val="false"/>
          <w:sz w:val="32"/>
        </w:rPr>
        <w:t xml:space="preserve">   2130135农业资源保护修复与利用支出36.20万元；</w:t>
      </w:r>
    </w:p>
    <w:p>
      <w:pPr>
        <w:ind w:firstLine="480"/>
        <w:jc w:val="both"/>
      </w:pPr>
      <w:r>
        <w:rPr>
          <w:rFonts w:ascii="仿宋_GB2312" w:hAnsi="仿宋_GB2312" w:cs="仿宋_GB2312" w:eastAsia="仿宋_GB2312"/>
          <w:b w:val="false"/>
          <w:sz w:val="32"/>
        </w:rPr>
        <w:t xml:space="preserve">   2130152对高校毕业生到基层任职补助支出10.29万元；</w:t>
      </w:r>
    </w:p>
    <w:p>
      <w:pPr>
        <w:ind w:firstLine="480"/>
        <w:jc w:val="both"/>
      </w:pPr>
      <w:r>
        <w:rPr>
          <w:rFonts w:ascii="仿宋_GB2312" w:hAnsi="仿宋_GB2312" w:cs="仿宋_GB2312" w:eastAsia="仿宋_GB2312"/>
          <w:b w:val="false"/>
          <w:sz w:val="32"/>
        </w:rPr>
        <w:t xml:space="preserve">   2130204事业机构支出24.43万元；</w:t>
      </w:r>
    </w:p>
    <w:p>
      <w:pPr>
        <w:ind w:firstLine="480"/>
        <w:jc w:val="both"/>
      </w:pPr>
      <w:r>
        <w:rPr>
          <w:rFonts w:ascii="仿宋_GB2312" w:hAnsi="仿宋_GB2312" w:cs="仿宋_GB2312" w:eastAsia="仿宋_GB2312"/>
          <w:b w:val="false"/>
          <w:sz w:val="32"/>
        </w:rPr>
        <w:t xml:space="preserve">   2130207森林资源管理支出46万元；</w:t>
      </w:r>
    </w:p>
    <w:p>
      <w:pPr>
        <w:ind w:firstLine="480"/>
        <w:jc w:val="both"/>
      </w:pPr>
      <w:r>
        <w:rPr>
          <w:rFonts w:ascii="仿宋_GB2312" w:hAnsi="仿宋_GB2312" w:cs="仿宋_GB2312" w:eastAsia="仿宋_GB2312"/>
          <w:b w:val="false"/>
          <w:sz w:val="32"/>
        </w:rPr>
        <w:t xml:space="preserve">   2130299其他林业和草原支出85.34万元；</w:t>
      </w:r>
    </w:p>
    <w:p>
      <w:pPr>
        <w:ind w:firstLine="480"/>
        <w:jc w:val="both"/>
      </w:pPr>
      <w:r>
        <w:rPr>
          <w:rFonts w:ascii="仿宋_GB2312" w:hAnsi="仿宋_GB2312" w:cs="仿宋_GB2312" w:eastAsia="仿宋_GB2312"/>
          <w:b w:val="false"/>
          <w:sz w:val="32"/>
        </w:rPr>
        <w:t xml:space="preserve">   2130504农村基础设施建设支出257.99万元；</w:t>
      </w:r>
    </w:p>
    <w:p>
      <w:pPr>
        <w:ind w:firstLine="480"/>
        <w:jc w:val="both"/>
      </w:pPr>
      <w:r>
        <w:rPr>
          <w:rFonts w:ascii="仿宋_GB2312" w:hAnsi="仿宋_GB2312" w:cs="仿宋_GB2312" w:eastAsia="仿宋_GB2312"/>
          <w:b w:val="false"/>
          <w:sz w:val="32"/>
        </w:rPr>
        <w:t xml:space="preserve">   2130505生产发展支出336.50万元；</w:t>
      </w:r>
    </w:p>
    <w:p>
      <w:pPr>
        <w:ind w:firstLine="480"/>
        <w:jc w:val="both"/>
      </w:pPr>
      <w:r>
        <w:rPr>
          <w:rFonts w:ascii="仿宋_GB2312" w:hAnsi="仿宋_GB2312" w:cs="仿宋_GB2312" w:eastAsia="仿宋_GB2312"/>
          <w:b w:val="false"/>
          <w:sz w:val="32"/>
        </w:rPr>
        <w:t xml:space="preserve">   2130701对村级一事一议的补助支出10.71万元；</w:t>
      </w:r>
    </w:p>
    <w:p>
      <w:pPr>
        <w:ind w:firstLine="480"/>
        <w:jc w:val="both"/>
      </w:pPr>
      <w:r>
        <w:rPr>
          <w:rFonts w:ascii="仿宋_GB2312" w:hAnsi="仿宋_GB2312" w:cs="仿宋_GB2312" w:eastAsia="仿宋_GB2312"/>
          <w:b w:val="false"/>
          <w:sz w:val="32"/>
        </w:rPr>
        <w:t xml:space="preserve">   2139999其他农林水支出60.05万元；</w:t>
      </w:r>
    </w:p>
    <w:p>
      <w:pPr>
        <w:ind w:firstLine="480"/>
        <w:jc w:val="both"/>
      </w:pPr>
      <w:r>
        <w:rPr>
          <w:rFonts w:ascii="仿宋_GB2312" w:hAnsi="仿宋_GB2312" w:cs="仿宋_GB2312" w:eastAsia="仿宋_GB2312"/>
          <w:b w:val="false"/>
          <w:sz w:val="32"/>
        </w:rPr>
        <w:t xml:space="preserve">   2210105农村危房改造支出692.60万元；</w:t>
      </w:r>
    </w:p>
    <w:p>
      <w:pPr>
        <w:ind w:firstLine="480"/>
        <w:jc w:val="both"/>
      </w:pPr>
      <w:r>
        <w:rPr>
          <w:rFonts w:ascii="仿宋_GB2312" w:hAnsi="仿宋_GB2312" w:cs="仿宋_GB2312" w:eastAsia="仿宋_GB2312"/>
          <w:b w:val="false"/>
          <w:sz w:val="32"/>
        </w:rPr>
        <w:t xml:space="preserve">   2210201住房公积金支出108.13万元；</w:t>
      </w:r>
    </w:p>
    <w:p>
      <w:pPr>
        <w:ind w:firstLine="480"/>
        <w:jc w:val="both"/>
      </w:pPr>
      <w:r>
        <w:rPr>
          <w:rFonts w:ascii="仿宋_GB2312" w:hAnsi="仿宋_GB2312" w:cs="仿宋_GB2312" w:eastAsia="仿宋_GB2312"/>
          <w:b w:val="false"/>
          <w:sz w:val="32"/>
        </w:rPr>
        <w:t xml:space="preserve">   2299901其他支出110.37万元。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2019年度一般公共预算财政拨款基本支出1,505.24万元，其中：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1,469.23万元，包括：基本工资、津贴补贴、奖金、绩效工资、机关事业单位基本养老保险缴费、职工基本医疗保险缴费、公务员医疗补助缴费、其他社会保障缴费、住房公积金、退休费、生活补助、个人农业生产补贴、其他对个人和家庭的补助。</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公用经费36.01万元，包括：办公费、邮电费、维修（护）费、公务用车运行维护费。</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3.12万元，比上年减少2.65万元，降低45.93%，主要原因是厉行节约，压缩“三公”经费开支。其中，因公出国（境）费支出0万元，占0%，比上年增加0万元，增长0%，主要原因是与上年相比无变动，与上年一致；公务用车购置及运行维护费支出3.12万元，占100%，比上年减少2.65万元，降低45.93%，主要原因是厉行节约，压缩“三公”经费开支；公务接待费支出0万元，占0%，比上年增加0万元，增长0%，主要原因是与上年相比无变动，与上年一致。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因公出国（境）费支出0万元，开支内容包括：预算未安排，无此项支出。单位全年安排的因公出国（境）团组0个，因公出国（境）0人次。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3.12万元，其中，公务用车购置费0万元，公务用车运行维护费3.12万元。公务用车运行维护费开支内容包括汽车油料、维护费、保险费、车辆年检费。公务用车购置数0辆，公务用车保有量5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公务接待费0万元，开支内容包括预算未安排，无此项支出。单位全年安排的国内公务接待0批次，0人次。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3.12万元，决算数3.12万元，预决算差异率0%，主要原因是：预算执行完毕，预决算无差异。其中：因公出国（境）费预算数0万元，决算数0万元，预决算差异率0%，主要原因是：预算未安排，也无相应支出，因此预决算无差异；公务用车购置费预算数0万元，决算数0万元，预决算差异率0%，主要原因是：预算未安排，也无相应支出，因此预决算无差异；公务用车运行费预算数3.12万元，决算数3.12万元，预决算差异率0%，主要原因是：预算执行完毕，预决算无差异；公务接待费预算数0万元，决算数0万元，预决算差异率0%，主要原因是：预算未安排，也无相应支出，因此预决算无差异。</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2019年度政府性基金预算财政拨款收入4.90万元，与上年相比，减少1.10万元，下降18.33%，主要原因是：上级专项资金较去年减少。政府性基金预算支出4.90万元，与上年相比，减少1.10万元，下降18.33%，主要原因是：上级专项资金较去年减少少。</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2019年度新疆喀什地区麦盖提县希依提墩乡人民政府机关运行经费支出36.01万元，比上年增加7.16万元，增长24.82%，主要原因是脱贫攻坚任务加大，与开展脱贫攻坚工作有关的办公经费增加。</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2019年度政府采购支出总额126.21万元，其中：政府采购货物支出123.71万元、政府采购工程支出0万元、政府采购服务支出2.50万元。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授予中小企业合同金额126.21万元，占政府采购支出总额的100%，其中：授予小微企业合同金额123.71万元，占政府采购支出总额的98.02%。</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2,132.83（平方米），价值328.85万元。车辆5辆，价值43.63万元，其中：副部（省）级及以上领导用车0辆、主要领导干部用车0辆、机要通信用车0辆、应急保障用车0辆、执法执勤用车0辆、特种专业技术用车0辆、离退休干部用车0辆、其他用车5辆，其他用车主要是：一般公务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4个，共涉及资金1714.7257万元。预算绩效管理取得的成效：1、经费类项目：保障各项工作高效、协调、健康、有序的发展；2、人员补贴项目：日常事务支出，各项补贴工作高效、协调、健康、有序的发展；3、项目类补助资金：改善办公、生活环境，提高工作效率，增加村民文化娱乐场所的环境，改善周边基本环境，美化乡村，满足群众民主议事、宣传教育、技能培训、文艺演出、婚丧嫁娶、农民夜校、大宣讲、各种节日庆祝，都能保证实施，改善人居环境，方便群众生活，提高人民幸福感和生活水平，做好建档立卡贫困户的庭院经济整治建设，加强村级文化设施的建设。4、产业捐赠补助资金：帮助农民脱贫致富，增加其经济收入,加强贫困内生动力。发现的问题及原因：前期项目开展缓慢，导致了资金滞缓，影响了项目的进度。下一步改进措施：项目启动时同步做好档案的归纳与整理，及时整理、收集、汇总，健全档案资料。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bdUzlZ+yu+Z0N1zFx6oaHw==" w:hash="3RceFQAmrh1q+FmyvaN7HM9e3D8="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