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0DAFC1" w14:textId="77777777" w:rsidR="008853A8" w:rsidRDefault="008853A8">
      <w:pPr>
        <w:rPr>
          <w:rFonts w:ascii="黑体" w:eastAsia="黑体" w:hAnsi="黑体"/>
          <w:sz w:val="32"/>
          <w:szCs w:val="32"/>
        </w:rPr>
      </w:pPr>
      <w:r>
        <w:rPr>
          <w:rFonts w:ascii="黑体" w:eastAsia="黑体" w:hAnsi="黑体" w:hint="eastAsia"/>
          <w:sz w:val="32"/>
          <w:szCs w:val="32"/>
        </w:rPr>
        <w:t>附件：</w:t>
      </w:r>
    </w:p>
    <w:p w14:paraId="611C3882" w14:textId="77777777" w:rsidR="008853A8" w:rsidRDefault="008853A8">
      <w:pPr>
        <w:jc w:val="center"/>
        <w:rPr>
          <w:rFonts w:ascii="方正小标宋_GBK" w:eastAsia="方正小标宋_GBK" w:hAnsi="宋体"/>
          <w:sz w:val="44"/>
          <w:szCs w:val="44"/>
        </w:rPr>
      </w:pPr>
    </w:p>
    <w:p w14:paraId="12B0B250" w14:textId="77777777" w:rsidR="008853A8" w:rsidRDefault="008853A8">
      <w:pPr>
        <w:jc w:val="center"/>
        <w:rPr>
          <w:rFonts w:ascii="方正小标宋_GBK" w:eastAsia="方正小标宋_GBK" w:hAnsi="宋体"/>
          <w:sz w:val="44"/>
          <w:szCs w:val="44"/>
        </w:rPr>
      </w:pPr>
    </w:p>
    <w:p w14:paraId="1FB56DCC" w14:textId="77777777" w:rsidR="008853A8" w:rsidRDefault="008853A8">
      <w:pPr>
        <w:jc w:val="center"/>
        <w:rPr>
          <w:rFonts w:ascii="方正小标宋_GBK" w:eastAsia="方正小标宋_GBK" w:hAnsi="宋体"/>
          <w:sz w:val="44"/>
          <w:szCs w:val="44"/>
        </w:rPr>
      </w:pPr>
    </w:p>
    <w:p w14:paraId="0E41F092" w14:textId="77777777" w:rsidR="008853A8" w:rsidRDefault="008853A8">
      <w:pPr>
        <w:jc w:val="center"/>
        <w:rPr>
          <w:rFonts w:ascii="方正小标宋_GBK" w:eastAsia="方正小标宋_GBK" w:hAnsi="宋体"/>
          <w:sz w:val="44"/>
          <w:szCs w:val="44"/>
        </w:rPr>
      </w:pPr>
    </w:p>
    <w:p w14:paraId="0ACE5469" w14:textId="35972067" w:rsidR="008853A8" w:rsidRDefault="00377EC6">
      <w:pPr>
        <w:jc w:val="center"/>
        <w:rPr>
          <w:rFonts w:ascii="方正小标宋_GBK" w:eastAsia="方正小标宋_GBK" w:hAnsi="宋体"/>
          <w:sz w:val="44"/>
          <w:szCs w:val="44"/>
        </w:rPr>
      </w:pPr>
      <w:r>
        <w:rPr>
          <w:rFonts w:ascii="方正小标宋_GBK" w:hAnsi="方正小标宋_GBK" w:cs="方正小标宋_GBK" w:eastAsia="方正小标宋_GBK"/>
          <w:sz w:val="44"/>
        </w:rPr>
        <w:t>新疆喀什地区麦盖提县昂格特勒克乡人民政府2019年度部门决算公开说明</w:t>
      </w:r>
    </w:p>
    <w:p w14:paraId="2888F532" w14:textId="77777777" w:rsidR="008853A8" w:rsidRDefault="008853A8">
      <w:pPr>
        <w:jc w:val="center"/>
        <w:rPr>
          <w:rFonts w:ascii="仿宋_GB2312" w:eastAsia="仿宋_GB2312" w:hAnsi="仿宋_GB2312" w:cs="仿宋_GB2312"/>
          <w:bCs/>
          <w:kern w:val="0"/>
          <w:sz w:val="32"/>
          <w:szCs w:val="32"/>
        </w:rPr>
      </w:pPr>
      <w:r>
        <w:rPr>
          <w:rFonts w:ascii="方正小标宋_GBK" w:eastAsia="方正小标宋_GBK" w:hAnsi="宋体" w:hint="eastAsia"/>
          <w:sz w:val="44"/>
          <w:szCs w:val="44"/>
        </w:rPr>
        <w:br w:type="page"/>
      </w:r>
      <w:r>
        <w:rPr>
          <w:rFonts w:ascii="仿宋_GB2312" w:eastAsia="仿宋_GB2312" w:hAnsi="仿宋_GB2312" w:cs="仿宋_GB2312" w:hint="eastAsia"/>
          <w:b/>
          <w:kern w:val="0"/>
          <w:sz w:val="36"/>
          <w:szCs w:val="36"/>
        </w:rPr>
        <w:t>目 录</w:t>
      </w:r>
    </w:p>
    <w:p w14:paraId="293349B8" w14:textId="77777777" w:rsidR="008853A8" w:rsidRDefault="008853A8">
      <w:pPr>
        <w:pStyle w:val="TOC1"/>
        <w:tabs>
          <w:tab w:val="right" w:pos="8306"/>
        </w:tabs>
        <w:rPr>
          <w:rFonts w:ascii="仿宋_GB2312" w:eastAsia="仿宋_GB2312" w:hAnsi="仿宋_GB2312" w:cs="仿宋_GB2312"/>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部门单位概况</w:t>
        </w:r>
      </w:hyperlink>
    </w:p>
    <w:p w14:paraId="2F9FE76B"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30567" w:history="1">
        <w:r w:rsidR="008853A8">
          <w:rPr>
            <w:rFonts w:ascii="仿宋_GB2312" w:eastAsia="仿宋_GB2312" w:hAnsi="仿宋_GB2312" w:cs="仿宋_GB2312" w:hint="eastAsia"/>
            <w:bCs/>
            <w:kern w:val="0"/>
            <w:sz w:val="32"/>
            <w:szCs w:val="32"/>
          </w:rPr>
          <w:t>一、主要职能</w:t>
        </w:r>
      </w:hyperlink>
    </w:p>
    <w:p w14:paraId="247DC9F7"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2151" w:history="1">
        <w:r w:rsidR="008853A8">
          <w:rPr>
            <w:rFonts w:ascii="仿宋_GB2312" w:eastAsia="仿宋_GB2312" w:hAnsi="仿宋_GB2312" w:cs="仿宋_GB2312" w:hint="eastAsia"/>
            <w:bCs/>
            <w:kern w:val="0"/>
            <w:sz w:val="32"/>
            <w:szCs w:val="32"/>
          </w:rPr>
          <w:t>二、机构设置及人员情况</w:t>
        </w:r>
      </w:hyperlink>
    </w:p>
    <w:p w14:paraId="08B9D742" w14:textId="77777777" w:rsidR="008853A8" w:rsidRDefault="0088099A">
      <w:pPr>
        <w:pStyle w:val="TOC1"/>
        <w:tabs>
          <w:tab w:val="right" w:pos="8306"/>
        </w:tabs>
        <w:rPr>
          <w:rFonts w:ascii="仿宋_GB2312" w:eastAsia="仿宋_GB2312" w:hAnsi="仿宋_GB2312" w:cs="仿宋_GB2312"/>
          <w:b/>
          <w:bCs/>
          <w:sz w:val="32"/>
          <w:szCs w:val="32"/>
        </w:rPr>
      </w:pPr>
      <w:hyperlink w:anchor="_Toc29374" w:history="1">
        <w:r w:rsidR="008853A8">
          <w:rPr>
            <w:rFonts w:ascii="仿宋_GB2312" w:eastAsia="仿宋_GB2312" w:hAnsi="仿宋_GB2312" w:cs="仿宋_GB2312" w:hint="eastAsia"/>
            <w:b/>
            <w:bCs/>
            <w:sz w:val="32"/>
            <w:szCs w:val="32"/>
          </w:rPr>
          <w:t>第二部分 部门决算情况说明</w:t>
        </w:r>
      </w:hyperlink>
    </w:p>
    <w:p w14:paraId="5C83C03D"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25314" w:history="1">
        <w:r w:rsidR="008853A8">
          <w:rPr>
            <w:rFonts w:ascii="仿宋_GB2312" w:eastAsia="仿宋_GB2312" w:hAnsi="仿宋_GB2312" w:cs="仿宋_GB2312" w:hint="eastAsia"/>
            <w:bCs/>
            <w:kern w:val="0"/>
            <w:sz w:val="32"/>
            <w:szCs w:val="32"/>
          </w:rPr>
          <w:t>一、收入支出决算总体情况说明</w:t>
        </w:r>
      </w:hyperlink>
    </w:p>
    <w:p w14:paraId="4572C604"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12142" w:history="1">
        <w:r w:rsidR="008853A8">
          <w:rPr>
            <w:rFonts w:ascii="仿宋_GB2312" w:eastAsia="仿宋_GB2312" w:hAnsi="仿宋_GB2312" w:cs="仿宋_GB2312" w:hint="eastAsia"/>
            <w:bCs/>
            <w:kern w:val="0"/>
            <w:sz w:val="32"/>
            <w:szCs w:val="32"/>
          </w:rPr>
          <w:t>二、收入决算情况说明</w:t>
        </w:r>
      </w:hyperlink>
    </w:p>
    <w:p w14:paraId="5F2369D5"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13201" w:history="1">
        <w:r w:rsidR="008853A8">
          <w:rPr>
            <w:rFonts w:ascii="仿宋_GB2312" w:eastAsia="仿宋_GB2312" w:hAnsi="仿宋_GB2312" w:cs="仿宋_GB2312" w:hint="eastAsia"/>
            <w:bCs/>
            <w:kern w:val="0"/>
            <w:sz w:val="32"/>
            <w:szCs w:val="32"/>
          </w:rPr>
          <w:t>三、支出决算情况说明</w:t>
        </w:r>
      </w:hyperlink>
    </w:p>
    <w:p w14:paraId="6C9FFD2C"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26564" w:history="1">
        <w:r w:rsidR="008853A8">
          <w:rPr>
            <w:rFonts w:ascii="仿宋_GB2312" w:eastAsia="仿宋_GB2312" w:hAnsi="仿宋_GB2312" w:cs="仿宋_GB2312" w:hint="eastAsia"/>
            <w:bCs/>
            <w:kern w:val="0"/>
            <w:sz w:val="32"/>
            <w:szCs w:val="32"/>
          </w:rPr>
          <w:t>四、财政拨款收入支出决算总体情况说明</w:t>
        </w:r>
      </w:hyperlink>
    </w:p>
    <w:p w14:paraId="50C0774C"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20360" w:history="1">
        <w:r w:rsidR="008853A8">
          <w:rPr>
            <w:rFonts w:ascii="仿宋_GB2312" w:eastAsia="仿宋_GB2312" w:hAnsi="仿宋_GB2312" w:cs="仿宋_GB2312" w:hint="eastAsia"/>
            <w:bCs/>
            <w:kern w:val="0"/>
            <w:sz w:val="32"/>
            <w:szCs w:val="32"/>
          </w:rPr>
          <w:t>五、一般公共预算财政拨款支出决算情况说明</w:t>
        </w:r>
      </w:hyperlink>
    </w:p>
    <w:p w14:paraId="02AD7142"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30870" w:history="1">
        <w:r w:rsidR="008853A8">
          <w:rPr>
            <w:rFonts w:ascii="仿宋_GB2312" w:eastAsia="仿宋_GB2312" w:hAnsi="仿宋_GB2312" w:cs="仿宋_GB2312" w:hint="eastAsia"/>
            <w:bCs/>
            <w:kern w:val="0"/>
            <w:sz w:val="32"/>
            <w:szCs w:val="32"/>
          </w:rPr>
          <w:t>六、一般公共预算财政拨款基本支出决算情况说明</w:t>
        </w:r>
      </w:hyperlink>
    </w:p>
    <w:p w14:paraId="52DEB1DD"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21518" w:history="1">
        <w:r w:rsidR="008853A8">
          <w:rPr>
            <w:rFonts w:ascii="仿宋_GB2312" w:eastAsia="仿宋_GB2312" w:hAnsi="仿宋_GB2312" w:cs="仿宋_GB2312" w:hint="eastAsia"/>
            <w:bCs/>
            <w:kern w:val="0"/>
            <w:sz w:val="32"/>
            <w:szCs w:val="32"/>
          </w:rPr>
          <w:t>七、一般公共预算财政拨款“三公”经费支出决算情况说明</w:t>
        </w:r>
      </w:hyperlink>
    </w:p>
    <w:p w14:paraId="445A50AA"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5810" w:history="1">
        <w:r w:rsidR="008853A8">
          <w:rPr>
            <w:rFonts w:ascii="仿宋_GB2312" w:eastAsia="仿宋_GB2312" w:hAnsi="仿宋_GB2312" w:cs="仿宋_GB2312" w:hint="eastAsia"/>
            <w:bCs/>
            <w:kern w:val="0"/>
            <w:sz w:val="32"/>
            <w:szCs w:val="32"/>
          </w:rPr>
          <w:t>八、政府性基金预算收入支出决算情况说明</w:t>
        </w:r>
      </w:hyperlink>
    </w:p>
    <w:p w14:paraId="57D57162"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1235" w:history="1">
        <w:r w:rsidR="008853A8">
          <w:rPr>
            <w:rFonts w:ascii="仿宋_GB2312" w:eastAsia="仿宋_GB2312" w:hAnsi="仿宋_GB2312" w:cs="仿宋_GB2312" w:hint="eastAsia"/>
            <w:bCs/>
            <w:kern w:val="0"/>
            <w:sz w:val="32"/>
            <w:szCs w:val="32"/>
          </w:rPr>
          <w:t>九、其他重要事项的情况说明</w:t>
        </w:r>
      </w:hyperlink>
    </w:p>
    <w:p w14:paraId="326B9E76" w14:textId="77777777" w:rsidR="008853A8" w:rsidRDefault="0088099A">
      <w:pPr>
        <w:pStyle w:val="TOC3"/>
        <w:tabs>
          <w:tab w:val="right" w:pos="8306"/>
        </w:tabs>
        <w:ind w:leftChars="0" w:left="0"/>
        <w:rPr>
          <w:rFonts w:ascii="仿宋_GB2312" w:eastAsia="仿宋_GB2312" w:hAnsi="仿宋_GB2312" w:cs="仿宋_GB2312"/>
          <w:sz w:val="32"/>
          <w:szCs w:val="32"/>
        </w:rPr>
      </w:pPr>
      <w:hyperlink w:anchor="_Toc14519" w:history="1">
        <w:r w:rsidR="008853A8">
          <w:rPr>
            <w:rFonts w:ascii="仿宋_GB2312" w:eastAsia="仿宋_GB2312" w:hAnsi="仿宋_GB2312" w:cs="仿宋_GB2312" w:hint="eastAsia"/>
            <w:sz w:val="32"/>
            <w:szCs w:val="32"/>
          </w:rPr>
          <w:t>（一）机关运行经费支出情况</w:t>
        </w:r>
      </w:hyperlink>
    </w:p>
    <w:p w14:paraId="65AAD0E2" w14:textId="77777777" w:rsidR="008853A8" w:rsidRDefault="0088099A">
      <w:pPr>
        <w:pStyle w:val="TOC3"/>
        <w:tabs>
          <w:tab w:val="right" w:pos="8306"/>
        </w:tabs>
        <w:ind w:leftChars="0" w:left="0"/>
        <w:rPr>
          <w:rFonts w:ascii="仿宋_GB2312" w:eastAsia="仿宋_GB2312" w:hAnsi="仿宋_GB2312" w:cs="仿宋_GB2312"/>
          <w:sz w:val="32"/>
          <w:szCs w:val="32"/>
        </w:rPr>
      </w:pPr>
      <w:hyperlink w:anchor="_Toc227" w:history="1">
        <w:r w:rsidR="008853A8">
          <w:rPr>
            <w:rFonts w:ascii="仿宋_GB2312" w:eastAsia="仿宋_GB2312" w:hAnsi="仿宋_GB2312" w:cs="仿宋_GB2312" w:hint="eastAsia"/>
            <w:sz w:val="32"/>
            <w:szCs w:val="32"/>
          </w:rPr>
          <w:t>（二）政府采购情况</w:t>
        </w:r>
      </w:hyperlink>
    </w:p>
    <w:p w14:paraId="651C5AE5" w14:textId="77777777" w:rsidR="008853A8" w:rsidRDefault="0088099A">
      <w:pPr>
        <w:pStyle w:val="TOC3"/>
        <w:tabs>
          <w:tab w:val="right" w:pos="8306"/>
        </w:tabs>
        <w:ind w:leftChars="0" w:left="0"/>
        <w:rPr>
          <w:rFonts w:ascii="仿宋_GB2312" w:eastAsia="仿宋_GB2312" w:hAnsi="仿宋_GB2312" w:cs="仿宋_GB2312"/>
          <w:sz w:val="32"/>
          <w:szCs w:val="32"/>
        </w:rPr>
      </w:pPr>
      <w:hyperlink w:anchor="_Toc8391" w:history="1">
        <w:r w:rsidR="008853A8">
          <w:rPr>
            <w:rFonts w:ascii="仿宋_GB2312" w:eastAsia="仿宋_GB2312" w:hAnsi="仿宋_GB2312" w:cs="仿宋_GB2312" w:hint="eastAsia"/>
            <w:sz w:val="32"/>
            <w:szCs w:val="32"/>
          </w:rPr>
          <w:t>（三）国有资产占用情况说明</w:t>
        </w:r>
      </w:hyperlink>
    </w:p>
    <w:p w14:paraId="0BD7F982"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11283" w:history="1">
        <w:r w:rsidR="008853A8">
          <w:rPr>
            <w:rFonts w:ascii="仿宋_GB2312" w:eastAsia="仿宋_GB2312" w:hAnsi="仿宋_GB2312" w:cs="仿宋_GB2312" w:hint="eastAsia"/>
            <w:bCs/>
            <w:kern w:val="0"/>
            <w:sz w:val="32"/>
            <w:szCs w:val="32"/>
          </w:rPr>
          <w:t>十、预算绩效的情况说明</w:t>
        </w:r>
      </w:hyperlink>
    </w:p>
    <w:p w14:paraId="778B9C6E" w14:textId="77777777" w:rsidR="008853A8" w:rsidRDefault="0088099A">
      <w:pPr>
        <w:pStyle w:val="TOC1"/>
        <w:tabs>
          <w:tab w:val="right" w:pos="8306"/>
        </w:tabs>
        <w:rPr>
          <w:rFonts w:ascii="仿宋_GB2312" w:eastAsia="仿宋_GB2312" w:hAnsi="仿宋_GB2312" w:cs="仿宋_GB2312"/>
          <w:b/>
          <w:bCs/>
          <w:sz w:val="32"/>
          <w:szCs w:val="32"/>
        </w:rPr>
      </w:pPr>
      <w:hyperlink w:anchor="_Toc3250" w:history="1">
        <w:r w:rsidR="008853A8">
          <w:rPr>
            <w:rFonts w:ascii="仿宋_GB2312" w:eastAsia="仿宋_GB2312" w:hAnsi="仿宋_GB2312" w:cs="仿宋_GB2312" w:hint="eastAsia"/>
            <w:b/>
            <w:bCs/>
            <w:sz w:val="32"/>
            <w:szCs w:val="32"/>
          </w:rPr>
          <w:t>第三部分 专业名词解释</w:t>
        </w:r>
      </w:hyperlink>
    </w:p>
    <w:p w14:paraId="41FD2E9B" w14:textId="77777777" w:rsidR="008853A8" w:rsidRDefault="0088099A">
      <w:pPr>
        <w:pStyle w:val="TOC1"/>
        <w:tabs>
          <w:tab w:val="right" w:pos="8306"/>
        </w:tabs>
        <w:rPr>
          <w:rFonts w:ascii="仿宋_GB2312" w:eastAsia="仿宋_GB2312" w:hAnsi="仿宋_GB2312" w:cs="仿宋_GB2312"/>
          <w:b/>
          <w:bCs/>
          <w:sz w:val="32"/>
          <w:szCs w:val="32"/>
        </w:rPr>
      </w:pPr>
      <w:hyperlink w:anchor="_Toc22784" w:history="1">
        <w:r w:rsidR="008853A8">
          <w:rPr>
            <w:rFonts w:ascii="仿宋_GB2312" w:eastAsia="仿宋_GB2312" w:hAnsi="仿宋_GB2312" w:cs="仿宋_GB2312" w:hint="eastAsia"/>
            <w:b/>
            <w:bCs/>
            <w:sz w:val="32"/>
            <w:szCs w:val="32"/>
          </w:rPr>
          <w:t>第四部分 部门决算报表（见附表）</w:t>
        </w:r>
      </w:hyperlink>
    </w:p>
    <w:p w14:paraId="28F1D9E2"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2183" w:history="1">
        <w:r w:rsidR="008853A8">
          <w:rPr>
            <w:rFonts w:ascii="仿宋_GB2312" w:eastAsia="仿宋_GB2312" w:hAnsi="仿宋_GB2312" w:cs="仿宋_GB2312" w:hint="eastAsia"/>
            <w:bCs/>
            <w:kern w:val="0"/>
            <w:sz w:val="32"/>
            <w:szCs w:val="32"/>
          </w:rPr>
          <w:t>一、《收入支出决算总表》</w:t>
        </w:r>
      </w:hyperlink>
    </w:p>
    <w:p w14:paraId="61408A51"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24532" w:history="1">
        <w:r w:rsidR="008853A8">
          <w:rPr>
            <w:rFonts w:ascii="仿宋_GB2312" w:eastAsia="仿宋_GB2312" w:hAnsi="仿宋_GB2312" w:cs="仿宋_GB2312" w:hint="eastAsia"/>
            <w:bCs/>
            <w:kern w:val="0"/>
            <w:sz w:val="32"/>
            <w:szCs w:val="32"/>
          </w:rPr>
          <w:t>二、《收入决算表》</w:t>
        </w:r>
      </w:hyperlink>
    </w:p>
    <w:p w14:paraId="04072FC1"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32434" w:history="1">
        <w:r w:rsidR="008853A8">
          <w:rPr>
            <w:rFonts w:ascii="仿宋_GB2312" w:eastAsia="仿宋_GB2312" w:hAnsi="仿宋_GB2312" w:cs="仿宋_GB2312" w:hint="eastAsia"/>
            <w:bCs/>
            <w:kern w:val="0"/>
            <w:sz w:val="32"/>
            <w:szCs w:val="32"/>
          </w:rPr>
          <w:t>三、《支出决算表》</w:t>
        </w:r>
      </w:hyperlink>
    </w:p>
    <w:p w14:paraId="22BFA8ED"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28786" w:history="1">
        <w:r w:rsidR="008853A8">
          <w:rPr>
            <w:rFonts w:ascii="仿宋_GB2312" w:eastAsia="仿宋_GB2312" w:hAnsi="仿宋_GB2312" w:cs="仿宋_GB2312" w:hint="eastAsia"/>
            <w:bCs/>
            <w:kern w:val="0"/>
            <w:sz w:val="32"/>
            <w:szCs w:val="32"/>
          </w:rPr>
          <w:t>四、《财政拨款收入支出决算总表》</w:t>
        </w:r>
      </w:hyperlink>
    </w:p>
    <w:p w14:paraId="2DC04D36"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14869" w:history="1">
        <w:r w:rsidR="008853A8">
          <w:rPr>
            <w:rFonts w:ascii="仿宋_GB2312" w:eastAsia="仿宋_GB2312" w:hAnsi="仿宋_GB2312" w:cs="仿宋_GB2312" w:hint="eastAsia"/>
            <w:bCs/>
            <w:kern w:val="0"/>
            <w:sz w:val="32"/>
            <w:szCs w:val="32"/>
          </w:rPr>
          <w:t>五、《一般公共预算财政拨款支出决算表》</w:t>
        </w:r>
      </w:hyperlink>
    </w:p>
    <w:p w14:paraId="455EE489"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8884" w:history="1">
        <w:r w:rsidR="008853A8">
          <w:rPr>
            <w:rFonts w:ascii="仿宋_GB2312" w:eastAsia="仿宋_GB2312" w:hAnsi="仿宋_GB2312" w:cs="仿宋_GB2312" w:hint="eastAsia"/>
            <w:bCs/>
            <w:kern w:val="0"/>
            <w:sz w:val="32"/>
            <w:szCs w:val="32"/>
          </w:rPr>
          <w:t>六、《一般公共预算财政拨款基本支出决算表》</w:t>
        </w:r>
      </w:hyperlink>
    </w:p>
    <w:p w14:paraId="64724664"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29106" w:history="1">
        <w:r w:rsidR="008853A8">
          <w:rPr>
            <w:rFonts w:ascii="仿宋_GB2312" w:eastAsia="仿宋_GB2312" w:hAnsi="仿宋_GB2312" w:cs="仿宋_GB2312" w:hint="eastAsia"/>
            <w:bCs/>
            <w:kern w:val="0"/>
            <w:sz w:val="32"/>
            <w:szCs w:val="32"/>
          </w:rPr>
          <w:t>七、《一般公共预算财政拨款“三公”经费支出决算表》</w:t>
        </w:r>
      </w:hyperlink>
    </w:p>
    <w:p w14:paraId="0F035661" w14:textId="77777777" w:rsidR="008853A8" w:rsidRDefault="0088099A">
      <w:pPr>
        <w:pStyle w:val="TOC2"/>
        <w:tabs>
          <w:tab w:val="right" w:pos="8306"/>
        </w:tabs>
        <w:ind w:leftChars="0" w:left="0"/>
        <w:rPr>
          <w:rFonts w:ascii="仿宋_GB2312" w:eastAsia="仿宋_GB2312" w:hAnsi="仿宋_GB2312" w:cs="仿宋_GB2312"/>
          <w:sz w:val="32"/>
          <w:szCs w:val="32"/>
        </w:rPr>
      </w:pPr>
      <w:hyperlink w:anchor="_Toc7643" w:history="1">
        <w:r w:rsidR="008853A8">
          <w:rPr>
            <w:rFonts w:ascii="仿宋_GB2312" w:eastAsia="仿宋_GB2312" w:hAnsi="仿宋_GB2312" w:cs="仿宋_GB2312" w:hint="eastAsia"/>
            <w:bCs/>
            <w:kern w:val="0"/>
            <w:sz w:val="32"/>
            <w:szCs w:val="32"/>
          </w:rPr>
          <w:t>八、《政府性基金预算财政拨款收入支出决算表》</w:t>
        </w:r>
      </w:hyperlink>
    </w:p>
    <w:p w14:paraId="0E1577DF" w14:textId="77777777" w:rsidR="008853A8" w:rsidRDefault="008853A8">
      <w:r>
        <w:rPr>
          <w:rFonts w:ascii="仿宋_GB2312" w:eastAsia="仿宋_GB2312" w:hAnsi="仿宋_GB2312" w:cs="仿宋_GB2312" w:hint="eastAsia"/>
          <w:sz w:val="32"/>
          <w:szCs w:val="32"/>
        </w:rPr>
        <w:fldChar w:fldCharType="end"/>
      </w:r>
    </w:p>
    <w:p w14:paraId="68A45511" w14:textId="77777777" w:rsidR="008853A8" w:rsidRDefault="008853A8">
      <w:pPr>
        <w:ind w:firstLineChars="200" w:firstLine="640"/>
        <w:jc w:val="center"/>
        <w:outlineLvl w:val="0"/>
        <w:rPr>
          <w:rFonts w:ascii="黑体" w:eastAsia="黑体" w:hAnsi="黑体"/>
          <w:sz w:val="32"/>
          <w:szCs w:val="32"/>
        </w:rPr>
      </w:pPr>
      <w:r>
        <w:rPr>
          <w:rFonts w:ascii="仿宋_GB2312" w:eastAsia="仿宋_GB2312" w:hint="eastAsia"/>
          <w:sz w:val="32"/>
          <w:szCs w:val="32"/>
        </w:rPr>
        <w:br w:type="page"/>
      </w:r>
      <w:bookmarkStart w:id="0" w:name="_Toc24028"/>
      <w:bookmarkStart w:id="1" w:name="_Toc32314"/>
      <w:r>
        <w:rPr>
          <w:rFonts w:ascii="黑体" w:eastAsia="黑体" w:hAnsi="黑体" w:hint="eastAsia"/>
          <w:sz w:val="32"/>
          <w:szCs w:val="32"/>
        </w:rPr>
        <w:t>第一部分 部门单位概况</w:t>
      </w:r>
      <w:bookmarkEnd w:id="0"/>
      <w:bookmarkEnd w:id="1"/>
    </w:p>
    <w:p w14:paraId="036049B7" w14:textId="77777777" w:rsidR="008853A8" w:rsidRDefault="008853A8">
      <w:pPr>
        <w:ind w:firstLineChars="200" w:firstLine="640"/>
        <w:outlineLvl w:val="1"/>
        <w:rPr>
          <w:rFonts w:ascii="黑体" w:eastAsia="黑体" w:hAnsi="黑体" w:cs="宋体"/>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pPr>
        <w:ind w:firstLine="480"/>
        <w:jc w:val="both"/>
      </w:pPr>
      <w:r>
        <w:rPr>
          <w:rFonts w:ascii="仿宋_GB2312" w:hAnsi="仿宋_GB2312" w:cs="仿宋_GB2312" w:eastAsia="仿宋_GB2312"/>
          <w:b w:val="false"/>
          <w:sz w:val="32"/>
        </w:rPr>
        <w:t>1、负责落实国家、自治区各项强农惠农政策；负责农业产业化调整规划和引导工作；负责制定并组织实施村镇建设规划、乡村道路建设和公共设施建设；负责土地、林木、水等自然资源和生态环境的保护；负责农业生产环境监管和农产品质量安全；负责农村经营管理和指导；负责村级财务和土地承包流转监管工作，负责基本农田保护和农业科学技术推广工作；负责动植物防疫检疫工作；负责农田水利基本建设、防汛抗旱工作；负责指导农机安全管理、监督和检查工作；负责扶贫政策宣传、项目开发、技能培训，协调信贷扶贫工作。</w:t>
      </w:r>
    </w:p>
    <w:p>
      <w:pPr>
        <w:ind w:firstLine="480"/>
        <w:jc w:val="both"/>
      </w:pPr>
      <w:r>
        <w:rPr>
          <w:rFonts w:ascii="仿宋_GB2312" w:hAnsi="仿宋_GB2312" w:cs="仿宋_GB2312" w:eastAsia="仿宋_GB2312"/>
          <w:b w:val="false"/>
          <w:sz w:val="32"/>
        </w:rPr>
        <w:t>2、负责本行政区域内的人口和计划生育工作；协助配合教育行政部门做好幼儿教育、九年制义务教育、成人教育等工作；负责实施城乡居民医疗保障、卫生防疫和妇幼保健等工作；组织开展爱国卫生运动，实施农村公共卫生管理工作；负责组织实施社会救助救济、养老、优抚、残疾人等管理服务工作；组织开展各类文化体育活动。</w:t>
      </w:r>
    </w:p>
    <w:p>
      <w:pPr>
        <w:ind w:firstLine="480"/>
        <w:jc w:val="both"/>
      </w:pPr>
      <w:r>
        <w:rPr>
          <w:rFonts w:ascii="仿宋_GB2312" w:hAnsi="仿宋_GB2312" w:cs="仿宋_GB2312" w:eastAsia="仿宋_GB2312"/>
          <w:b w:val="false"/>
          <w:sz w:val="32"/>
        </w:rPr>
        <w:t>3、负责民兵组织建设、征兵、维护社会安定等人民武装工作。</w:t>
      </w:r>
    </w:p>
    <w:p w14:paraId="22BD2715" w14:textId="3A98898C" w:rsidR="008853A8" w:rsidRDefault="008853A8">
      <w:pPr>
        <w:ind w:firstLineChars="200" w:firstLine="640"/>
        <w:outlineLvl w:val="1"/>
        <w:rPr>
          <w:rFonts w:ascii="黑体" w:eastAsia="黑体" w:hAnsi="黑体" w:cs="宋体"/>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08E18313" w14:textId="72E3148E" w:rsidR="001F777A" w:rsidRPr="001F777A" w:rsidRDefault="001F777A" w:rsidP="001F777A">
      <w:pPr>
        <w:ind w:firstLineChars="200" w:firstLine="640"/>
      </w:pPr>
      <w:r>
        <w:rPr>
          <w:rFonts w:ascii="仿宋_GB2312" w:hAnsi="仿宋_GB2312" w:cs="仿宋_GB2312" w:eastAsia="仿宋_GB2312"/>
          <w:sz w:val="32"/>
        </w:rPr>
        <w:t>新疆喀什地区麦盖提县昂格特勒克乡人民政府2019年度，实有人数83人，其中：在职人员68人，离休人员0人，退休人员15人。</w:t>
      </w:r>
    </w:p>
    <w:p w14:paraId="65B8FE61" w14:textId="77777777" w:rsidR="00862395" w:rsidRDefault="00862395" w:rsidP="00862395">
      <w:pPr>
        <w:ind w:firstLineChars="200" w:firstLine="640"/>
        <w:rPr>
          <w:rFonts w:ascii="仿宋_GB2312" w:eastAsia="仿宋_GB2312"/>
          <w:sz w:val="32"/>
          <w:szCs w:val="32"/>
        </w:rPr>
      </w:pPr>
      <w:r>
        <w:rPr>
          <w:rFonts w:ascii="仿宋_GB2312" w:hAnsi="仿宋_GB2312" w:cs="仿宋_GB2312" w:eastAsia="仿宋_GB2312"/>
          <w:sz w:val="32"/>
        </w:rPr>
        <w:t>从部门决算单位构成看，新疆喀什地区麦盖提县昂格特勒克乡人民政府部门决算包括：新疆喀什地区麦盖提县昂格特勒克乡人民政府决算。</w:t>
      </w:r>
    </w:p>
    <w:p w14:paraId="2C581B27" w14:textId="77777777" w:rsidR="008853A8" w:rsidRDefault="008853A8">
      <w:pPr>
        <w:ind w:firstLineChars="200" w:firstLine="640"/>
        <w:jc w:val="center"/>
        <w:outlineLvl w:val="0"/>
        <w:rPr>
          <w:rFonts w:ascii="黑体" w:eastAsia="黑体" w:hAnsi="黑体"/>
          <w:sz w:val="32"/>
          <w:szCs w:val="32"/>
        </w:rPr>
      </w:pPr>
      <w:bookmarkStart w:id="6" w:name="_Toc3092"/>
      <w:bookmarkStart w:id="7" w:name="_Toc29374"/>
      <w:r>
        <w:rPr>
          <w:rFonts w:ascii="黑体" w:eastAsia="黑体" w:hAnsi="黑体" w:hint="eastAsia"/>
          <w:sz w:val="32"/>
          <w:szCs w:val="32"/>
        </w:rPr>
        <w:t>第二部分 部门决算情况说明</w:t>
      </w:r>
      <w:bookmarkEnd w:id="6"/>
      <w:bookmarkEnd w:id="7"/>
    </w:p>
    <w:p w14:paraId="4B167492" w14:textId="77777777" w:rsidR="008853A8" w:rsidRDefault="008853A8">
      <w:pPr>
        <w:ind w:firstLineChars="200" w:firstLine="640"/>
        <w:outlineLvl w:val="1"/>
        <w:rPr>
          <w:rFonts w:ascii="黑体" w:eastAsia="黑体" w:hAnsi="黑体" w:cs="宋体"/>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3782D0DE" w14:textId="3E55FEDD" w:rsidR="008853A8" w:rsidRDefault="007E3BFD">
      <w:pPr>
        <w:ind w:firstLineChars="200" w:firstLine="640"/>
        <w:rPr>
          <w:rFonts w:ascii="仿宋_GB2312" w:eastAsia="仿宋_GB2312"/>
          <w:sz w:val="32"/>
          <w:szCs w:val="32"/>
        </w:rPr>
      </w:pPr>
      <w:r>
        <w:rPr>
          <w:rFonts w:ascii="仿宋_GB2312" w:hAnsi="仿宋_GB2312" w:cs="仿宋_GB2312" w:eastAsia="仿宋_GB2312"/>
          <w:sz w:val="32"/>
        </w:rPr>
        <w:t>2019年度本年收入2,255.23万元，与上年相比，减少1,811.24万元，下降44.54%，主要原因是：其他收入类项目资金较上年减少。本年支出2,485.11万元，与上年相比，减少1,273.99万元，下降33.89%，主要原因是：其他收入类项目资金较上年减少。</w:t>
      </w:r>
    </w:p>
    <w:p w14:paraId="3093A798" w14:textId="77777777" w:rsidR="008853A8" w:rsidRDefault="008853A8">
      <w:pPr>
        <w:ind w:firstLineChars="200" w:firstLine="640"/>
        <w:outlineLvl w:val="1"/>
        <w:rPr>
          <w:rFonts w:ascii="黑体" w:eastAsia="黑体" w:hAnsi="黑体" w:cs="宋体"/>
          <w:bCs/>
          <w:kern w:val="0"/>
          <w:sz w:val="32"/>
          <w:szCs w:val="32"/>
        </w:rPr>
      </w:pPr>
      <w:bookmarkStart w:id="10" w:name="_Toc1979"/>
      <w:bookmarkStart w:id="11" w:name="_Toc12142"/>
      <w:r>
        <w:rPr>
          <w:rFonts w:ascii="黑体" w:eastAsia="黑体" w:hAnsi="黑体" w:cs="宋体" w:hint="eastAsia"/>
          <w:bCs/>
          <w:kern w:val="0"/>
          <w:sz w:val="32"/>
          <w:szCs w:val="32"/>
        </w:rPr>
        <w:t>二、收入决算情况说明</w:t>
      </w:r>
      <w:bookmarkEnd w:id="10"/>
      <w:bookmarkEnd w:id="11"/>
    </w:p>
    <w:p w14:paraId="2B914EFB" w14:textId="75DF8F00" w:rsidR="008853A8" w:rsidRDefault="00125A6F">
      <w:pPr>
        <w:ind w:firstLineChars="200" w:firstLine="640"/>
        <w:rPr>
          <w:rFonts w:ascii="仿宋_GB2312" w:eastAsia="仿宋_GB2312"/>
          <w:sz w:val="32"/>
          <w:szCs w:val="32"/>
        </w:rPr>
      </w:pPr>
      <w:r>
        <w:rPr>
          <w:rFonts w:ascii="仿宋_GB2312" w:hAnsi="仿宋_GB2312" w:cs="仿宋_GB2312" w:eastAsia="仿宋_GB2312"/>
          <w:sz w:val="32"/>
        </w:rPr>
        <w:t>2019年度本年收入2,255.23万元，其中：财政拨款收入2,214.18万元，占98.18%；上级补助收入0万元，占0%；事业收入0万元，占0%；经营收入0万元，占0%；附属单位上缴收入0万元，占0%；其他收入41.05万元，占1.82%。</w:t>
      </w:r>
    </w:p>
    <w:p w14:paraId="008FC815" w14:textId="77777777" w:rsidR="008853A8" w:rsidRDefault="008853A8">
      <w:pPr>
        <w:ind w:firstLineChars="200" w:firstLine="640"/>
        <w:outlineLvl w:val="1"/>
        <w:rPr>
          <w:rFonts w:ascii="黑体" w:eastAsia="黑体" w:hAnsi="黑体" w:cs="宋体"/>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26FB7964" w14:textId="23D4D7B7" w:rsidR="008853A8" w:rsidRDefault="00233021">
      <w:pPr>
        <w:ind w:firstLineChars="200" w:firstLine="640"/>
        <w:rPr>
          <w:rFonts w:ascii="仿宋_GB2312" w:eastAsia="仿宋_GB2312"/>
          <w:sz w:val="32"/>
          <w:szCs w:val="32"/>
        </w:rPr>
      </w:pPr>
      <w:r>
        <w:rPr>
          <w:rFonts w:ascii="仿宋_GB2312" w:hAnsi="仿宋_GB2312" w:cs="仿宋_GB2312" w:eastAsia="仿宋_GB2312"/>
          <w:sz w:val="32"/>
        </w:rPr>
        <w:t>2019年度本年支出2,485.11万元，其中：基本支出944.76万元，占38.02%；项目支出1,540.35万元，占61.98%；上缴上级支出0万元，占0%；经营支出0万元，占0%；对附属单位补助支出0万元，占0%。</w:t>
      </w:r>
    </w:p>
    <w:p w14:paraId="186CA7CE" w14:textId="77777777" w:rsidR="008853A8" w:rsidRDefault="008853A8">
      <w:pPr>
        <w:ind w:firstLineChars="200" w:firstLine="640"/>
        <w:outlineLvl w:val="1"/>
        <w:rPr>
          <w:rFonts w:ascii="黑体" w:eastAsia="黑体" w:hAnsi="黑体" w:cs="宋体"/>
          <w:bCs/>
          <w:kern w:val="0"/>
          <w:sz w:val="32"/>
          <w:szCs w:val="32"/>
        </w:rPr>
      </w:pPr>
      <w:bookmarkStart w:id="14" w:name="_Toc4393"/>
      <w:bookmarkStart w:id="15" w:name="_Toc26564"/>
      <w:r>
        <w:rPr>
          <w:rFonts w:ascii="黑体" w:eastAsia="黑体" w:hAnsi="黑体" w:cs="宋体" w:hint="eastAsia"/>
          <w:bCs/>
          <w:kern w:val="0"/>
          <w:sz w:val="32"/>
          <w:szCs w:val="32"/>
        </w:rPr>
        <w:t>四、财政拨款收入支出决算总体情况说明</w:t>
      </w:r>
      <w:bookmarkEnd w:id="14"/>
      <w:bookmarkEnd w:id="15"/>
    </w:p>
    <w:p w14:paraId="1B6E4AD7" w14:textId="100B88EF" w:rsidR="008853A8" w:rsidRPr="001848EE" w:rsidRDefault="001C2D35">
      <w:pPr>
        <w:ind w:firstLineChars="200" w:firstLine="640"/>
        <w:rPr>
          <w:rFonts w:ascii="仿宋_GB2312" w:eastAsia="仿宋_GB2312"/>
          <w:sz w:val="32"/>
          <w:szCs w:val="32"/>
        </w:rPr>
      </w:pPr>
      <w:r>
        <w:rPr>
          <w:rFonts w:ascii="仿宋_GB2312" w:hAnsi="仿宋_GB2312" w:cs="仿宋_GB2312" w:eastAsia="仿宋_GB2312"/>
          <w:sz w:val="32"/>
        </w:rPr>
        <w:t>2019年度财政拨款收入2,214.18万元，与上年相比，减少141.76万元，下降6.02%，主要原因是：财政专项资金较去年减少。财政拨款支出2,262.02万元，与上年相比，增加2.64万元，增长0.12%，主要原因是：上年结转项目今年继续支出。</w:t>
      </w:r>
    </w:p>
    <w:p w14:paraId="7139D063" w14:textId="11D128B6"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与年初预算数相比情况：财政拨款收入年初预算数1,155.16万元，决算数2,214.18万元，预决算差异率91.68%，主要原因是：年初预算只有本级项目以及预告知的项目，后期到达的部分专项资金通过预算追加下达，因此决算数大于年初预算数。财政拨款支出年初预算数1,155.16万元，决算数2,262.02万元，预决算差异率95.82%，主要原因是：年初预算只有本级项目以及预告知的项目，后期到达的部分专项资金通过预算追加下达，因此决算数大于年初预算数。</w:t>
      </w:r>
    </w:p>
    <w:p w14:paraId="51FC69F3" w14:textId="77777777" w:rsidR="008853A8" w:rsidRDefault="008853A8">
      <w:pPr>
        <w:ind w:firstLineChars="200" w:firstLine="640"/>
        <w:outlineLvl w:val="1"/>
        <w:rPr>
          <w:rFonts w:ascii="黑体" w:eastAsia="黑体" w:hAnsi="黑体" w:cs="宋体"/>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5B797ACC" w14:textId="2DDC565C" w:rsidR="008853A8" w:rsidRDefault="005529D0">
      <w:pPr>
        <w:ind w:firstLineChars="200" w:firstLine="640"/>
        <w:rPr>
          <w:rFonts w:ascii="仿宋_GB2312" w:eastAsia="仿宋_GB2312"/>
          <w:sz w:val="32"/>
          <w:szCs w:val="32"/>
        </w:rPr>
      </w:pPr>
      <w:r>
        <w:rPr>
          <w:rFonts w:ascii="仿宋_GB2312" w:hAnsi="仿宋_GB2312" w:cs="仿宋_GB2312" w:eastAsia="仿宋_GB2312"/>
          <w:sz w:val="32"/>
        </w:rPr>
        <w:t>2019年度一般公共预算财政拨款支出2,259.34万元。按功能分类科目项级科目公开，其中：</w:t>
      </w:r>
    </w:p>
    <w:p>
      <w:pPr>
        <w:ind w:firstLine="480"/>
        <w:jc w:val="both"/>
      </w:pPr>
      <w:r>
        <w:rPr>
          <w:rFonts w:ascii="仿宋_GB2312" w:hAnsi="仿宋_GB2312" w:cs="仿宋_GB2312" w:eastAsia="仿宋_GB2312"/>
          <w:b w:val="false"/>
          <w:sz w:val="32"/>
        </w:rPr>
        <w:t xml:space="preserve">   2010301行政运行支出487.72万元；</w:t>
      </w:r>
    </w:p>
    <w:p>
      <w:pPr>
        <w:ind w:firstLine="480"/>
        <w:jc w:val="both"/>
      </w:pPr>
      <w:r>
        <w:rPr>
          <w:rFonts w:ascii="仿宋_GB2312" w:hAnsi="仿宋_GB2312" w:cs="仿宋_GB2312" w:eastAsia="仿宋_GB2312"/>
          <w:b w:val="false"/>
          <w:sz w:val="32"/>
        </w:rPr>
        <w:t xml:space="preserve">   2010601行政运行支出11.44万元；</w:t>
      </w:r>
    </w:p>
    <w:p>
      <w:pPr>
        <w:ind w:firstLine="480"/>
        <w:jc w:val="both"/>
      </w:pPr>
      <w:r>
        <w:rPr>
          <w:rFonts w:ascii="仿宋_GB2312" w:hAnsi="仿宋_GB2312" w:cs="仿宋_GB2312" w:eastAsia="仿宋_GB2312"/>
          <w:b w:val="false"/>
          <w:sz w:val="32"/>
        </w:rPr>
        <w:t xml:space="preserve">   2011001行政运行支出23.34万元；</w:t>
      </w:r>
    </w:p>
    <w:p>
      <w:pPr>
        <w:ind w:firstLine="480"/>
        <w:jc w:val="both"/>
      </w:pPr>
      <w:r>
        <w:rPr>
          <w:rFonts w:ascii="仿宋_GB2312" w:hAnsi="仿宋_GB2312" w:cs="仿宋_GB2312" w:eastAsia="仿宋_GB2312"/>
          <w:b w:val="false"/>
          <w:sz w:val="32"/>
        </w:rPr>
        <w:t xml:space="preserve">   2013101行政运行支出31.38万元；</w:t>
      </w:r>
    </w:p>
    <w:p>
      <w:pPr>
        <w:ind w:firstLine="480"/>
        <w:jc w:val="both"/>
      </w:pPr>
      <w:r>
        <w:rPr>
          <w:rFonts w:ascii="仿宋_GB2312" w:hAnsi="仿宋_GB2312" w:cs="仿宋_GB2312" w:eastAsia="仿宋_GB2312"/>
          <w:b w:val="false"/>
          <w:sz w:val="32"/>
        </w:rPr>
        <w:t xml:space="preserve">   2013299其他组织事务支出220.18万元；</w:t>
      </w:r>
    </w:p>
    <w:p>
      <w:pPr>
        <w:ind w:firstLine="480"/>
        <w:jc w:val="both"/>
      </w:pPr>
      <w:r>
        <w:rPr>
          <w:rFonts w:ascii="仿宋_GB2312" w:hAnsi="仿宋_GB2312" w:cs="仿宋_GB2312" w:eastAsia="仿宋_GB2312"/>
          <w:b w:val="false"/>
          <w:sz w:val="32"/>
        </w:rPr>
        <w:t xml:space="preserve">   2013499其他统战事务支出16.59万元；</w:t>
      </w:r>
    </w:p>
    <w:p>
      <w:pPr>
        <w:ind w:firstLine="480"/>
        <w:jc w:val="both"/>
      </w:pPr>
      <w:r>
        <w:rPr>
          <w:rFonts w:ascii="仿宋_GB2312" w:hAnsi="仿宋_GB2312" w:cs="仿宋_GB2312" w:eastAsia="仿宋_GB2312"/>
          <w:b w:val="false"/>
          <w:sz w:val="32"/>
        </w:rPr>
        <w:t xml:space="preserve">   2019999其他一般公共服务支出35.56万元；</w:t>
      </w:r>
    </w:p>
    <w:p>
      <w:pPr>
        <w:ind w:firstLine="480"/>
        <w:jc w:val="both"/>
      </w:pPr>
      <w:r>
        <w:rPr>
          <w:rFonts w:ascii="仿宋_GB2312" w:hAnsi="仿宋_GB2312" w:cs="仿宋_GB2312" w:eastAsia="仿宋_GB2312"/>
          <w:b w:val="false"/>
          <w:sz w:val="32"/>
        </w:rPr>
        <w:t xml:space="preserve">   2040601行政运行支出10.17万元；</w:t>
      </w:r>
    </w:p>
    <w:p>
      <w:pPr>
        <w:ind w:firstLine="480"/>
        <w:jc w:val="both"/>
      </w:pPr>
      <w:r>
        <w:rPr>
          <w:rFonts w:ascii="仿宋_GB2312" w:hAnsi="仿宋_GB2312" w:cs="仿宋_GB2312" w:eastAsia="仿宋_GB2312"/>
          <w:b w:val="false"/>
          <w:sz w:val="32"/>
        </w:rPr>
        <w:t xml:space="preserve">   2050299其他普通教育支出6万元；</w:t>
      </w:r>
    </w:p>
    <w:p>
      <w:pPr>
        <w:ind w:firstLine="480"/>
        <w:jc w:val="both"/>
      </w:pPr>
      <w:r>
        <w:rPr>
          <w:rFonts w:ascii="仿宋_GB2312" w:hAnsi="仿宋_GB2312" w:cs="仿宋_GB2312" w:eastAsia="仿宋_GB2312"/>
          <w:b w:val="false"/>
          <w:sz w:val="32"/>
        </w:rPr>
        <w:t xml:space="preserve">   2070109群众文化支出11.22万元；</w:t>
      </w:r>
    </w:p>
    <w:p>
      <w:pPr>
        <w:ind w:firstLine="480"/>
        <w:jc w:val="both"/>
      </w:pPr>
      <w:r>
        <w:rPr>
          <w:rFonts w:ascii="仿宋_GB2312" w:hAnsi="仿宋_GB2312" w:cs="仿宋_GB2312" w:eastAsia="仿宋_GB2312"/>
          <w:b w:val="false"/>
          <w:sz w:val="32"/>
        </w:rPr>
        <w:t xml:space="preserve">   2070199其他文化和旅游支出5万元；</w:t>
      </w:r>
    </w:p>
    <w:p>
      <w:pPr>
        <w:ind w:firstLine="480"/>
        <w:jc w:val="both"/>
      </w:pPr>
      <w:r>
        <w:rPr>
          <w:rFonts w:ascii="仿宋_GB2312" w:hAnsi="仿宋_GB2312" w:cs="仿宋_GB2312" w:eastAsia="仿宋_GB2312"/>
          <w:b w:val="false"/>
          <w:sz w:val="32"/>
        </w:rPr>
        <w:t xml:space="preserve">   2070804广播支出8.61万元；</w:t>
      </w:r>
    </w:p>
    <w:p>
      <w:pPr>
        <w:ind w:firstLine="480"/>
        <w:jc w:val="both"/>
      </w:pPr>
      <w:r>
        <w:rPr>
          <w:rFonts w:ascii="仿宋_GB2312" w:hAnsi="仿宋_GB2312" w:cs="仿宋_GB2312" w:eastAsia="仿宋_GB2312"/>
          <w:b w:val="false"/>
          <w:sz w:val="32"/>
        </w:rPr>
        <w:t xml:space="preserve">   2079999其他文化体育与传媒支出2万元；</w:t>
      </w:r>
    </w:p>
    <w:p>
      <w:pPr>
        <w:ind w:firstLine="480"/>
        <w:jc w:val="both"/>
      </w:pPr>
      <w:r>
        <w:rPr>
          <w:rFonts w:ascii="仿宋_GB2312" w:hAnsi="仿宋_GB2312" w:cs="仿宋_GB2312" w:eastAsia="仿宋_GB2312"/>
          <w:b w:val="false"/>
          <w:sz w:val="32"/>
        </w:rPr>
        <w:t xml:space="preserve">   2080505机关事业单位基本养老保险缴费支出98.52万元；</w:t>
      </w:r>
    </w:p>
    <w:p>
      <w:pPr>
        <w:ind w:firstLine="480"/>
        <w:jc w:val="both"/>
      </w:pPr>
      <w:r>
        <w:rPr>
          <w:rFonts w:ascii="仿宋_GB2312" w:hAnsi="仿宋_GB2312" w:cs="仿宋_GB2312" w:eastAsia="仿宋_GB2312"/>
          <w:b w:val="false"/>
          <w:sz w:val="32"/>
        </w:rPr>
        <w:t xml:space="preserve">   2080799其他就业补助支出0万元；</w:t>
      </w:r>
    </w:p>
    <w:p>
      <w:pPr>
        <w:ind w:firstLine="480"/>
        <w:jc w:val="both"/>
      </w:pPr>
      <w:r>
        <w:rPr>
          <w:rFonts w:ascii="仿宋_GB2312" w:hAnsi="仿宋_GB2312" w:cs="仿宋_GB2312" w:eastAsia="仿宋_GB2312"/>
          <w:b w:val="false"/>
          <w:sz w:val="32"/>
        </w:rPr>
        <w:t xml:space="preserve">   2089901其他社会保障和就业支出60.28万元；</w:t>
      </w:r>
    </w:p>
    <w:p>
      <w:pPr>
        <w:ind w:firstLine="480"/>
        <w:jc w:val="both"/>
      </w:pPr>
      <w:r>
        <w:rPr>
          <w:rFonts w:ascii="仿宋_GB2312" w:hAnsi="仿宋_GB2312" w:cs="仿宋_GB2312" w:eastAsia="仿宋_GB2312"/>
          <w:b w:val="false"/>
          <w:sz w:val="32"/>
        </w:rPr>
        <w:t xml:space="preserve">   2100799其他计划生育事务支出11.37万元；</w:t>
      </w:r>
    </w:p>
    <w:p>
      <w:pPr>
        <w:ind w:firstLine="480"/>
        <w:jc w:val="both"/>
      </w:pPr>
      <w:r>
        <w:rPr>
          <w:rFonts w:ascii="仿宋_GB2312" w:hAnsi="仿宋_GB2312" w:cs="仿宋_GB2312" w:eastAsia="仿宋_GB2312"/>
          <w:b w:val="false"/>
          <w:sz w:val="32"/>
        </w:rPr>
        <w:t xml:space="preserve">   2130104事业运行支出153.73万元；</w:t>
      </w:r>
    </w:p>
    <w:p>
      <w:pPr>
        <w:ind w:firstLine="480"/>
        <w:jc w:val="both"/>
      </w:pPr>
      <w:r>
        <w:rPr>
          <w:rFonts w:ascii="仿宋_GB2312" w:hAnsi="仿宋_GB2312" w:cs="仿宋_GB2312" w:eastAsia="仿宋_GB2312"/>
          <w:b w:val="false"/>
          <w:sz w:val="32"/>
        </w:rPr>
        <w:t xml:space="preserve">   2130122农业生产支持补贴支出30.84万元；</w:t>
      </w:r>
    </w:p>
    <w:p>
      <w:pPr>
        <w:ind w:firstLine="480"/>
        <w:jc w:val="both"/>
      </w:pPr>
      <w:r>
        <w:rPr>
          <w:rFonts w:ascii="仿宋_GB2312" w:hAnsi="仿宋_GB2312" w:cs="仿宋_GB2312" w:eastAsia="仿宋_GB2312"/>
          <w:b w:val="false"/>
          <w:sz w:val="32"/>
        </w:rPr>
        <w:t xml:space="preserve">   2130135农业资源保护修复与利用支出13.64万元；</w:t>
      </w:r>
    </w:p>
    <w:p>
      <w:pPr>
        <w:ind w:firstLine="480"/>
        <w:jc w:val="both"/>
      </w:pPr>
      <w:r>
        <w:rPr>
          <w:rFonts w:ascii="仿宋_GB2312" w:hAnsi="仿宋_GB2312" w:cs="仿宋_GB2312" w:eastAsia="仿宋_GB2312"/>
          <w:b w:val="false"/>
          <w:sz w:val="32"/>
        </w:rPr>
        <w:t xml:space="preserve">   2130152对高校毕业生到基层任职补助支出3.44万元；</w:t>
      </w:r>
    </w:p>
    <w:p>
      <w:pPr>
        <w:ind w:firstLine="480"/>
        <w:jc w:val="both"/>
      </w:pPr>
      <w:r>
        <w:rPr>
          <w:rFonts w:ascii="仿宋_GB2312" w:hAnsi="仿宋_GB2312" w:cs="仿宋_GB2312" w:eastAsia="仿宋_GB2312"/>
          <w:b w:val="false"/>
          <w:sz w:val="32"/>
        </w:rPr>
        <w:t xml:space="preserve">   2130204事业机构支出23.09万元；</w:t>
      </w:r>
    </w:p>
    <w:p>
      <w:pPr>
        <w:ind w:firstLine="480"/>
        <w:jc w:val="both"/>
      </w:pPr>
      <w:r>
        <w:rPr>
          <w:rFonts w:ascii="仿宋_GB2312" w:hAnsi="仿宋_GB2312" w:cs="仿宋_GB2312" w:eastAsia="仿宋_GB2312"/>
          <w:b w:val="false"/>
          <w:sz w:val="32"/>
        </w:rPr>
        <w:t xml:space="preserve">   2130207森林资源管理支出83万元；</w:t>
      </w:r>
    </w:p>
    <w:p>
      <w:pPr>
        <w:ind w:firstLine="480"/>
        <w:jc w:val="both"/>
      </w:pPr>
      <w:r>
        <w:rPr>
          <w:rFonts w:ascii="仿宋_GB2312" w:hAnsi="仿宋_GB2312" w:cs="仿宋_GB2312" w:eastAsia="仿宋_GB2312"/>
          <w:b w:val="false"/>
          <w:sz w:val="32"/>
        </w:rPr>
        <w:t xml:space="preserve">   2130504农村基础设施建设支出89.51万元；</w:t>
      </w:r>
    </w:p>
    <w:p>
      <w:pPr>
        <w:ind w:firstLine="480"/>
        <w:jc w:val="both"/>
      </w:pPr>
      <w:r>
        <w:rPr>
          <w:rFonts w:ascii="仿宋_GB2312" w:hAnsi="仿宋_GB2312" w:cs="仿宋_GB2312" w:eastAsia="仿宋_GB2312"/>
          <w:b w:val="false"/>
          <w:sz w:val="32"/>
        </w:rPr>
        <w:t xml:space="preserve">   2130505生产发展支出240.56万元；</w:t>
      </w:r>
    </w:p>
    <w:p>
      <w:pPr>
        <w:ind w:firstLine="480"/>
        <w:jc w:val="both"/>
      </w:pPr>
      <w:r>
        <w:rPr>
          <w:rFonts w:ascii="仿宋_GB2312" w:hAnsi="仿宋_GB2312" w:cs="仿宋_GB2312" w:eastAsia="仿宋_GB2312"/>
          <w:b w:val="false"/>
          <w:sz w:val="32"/>
        </w:rPr>
        <w:t xml:space="preserve">   2130701对村级一事一议的补助支出10万元；</w:t>
      </w:r>
    </w:p>
    <w:p>
      <w:pPr>
        <w:ind w:firstLine="480"/>
        <w:jc w:val="both"/>
      </w:pPr>
      <w:r>
        <w:rPr>
          <w:rFonts w:ascii="仿宋_GB2312" w:hAnsi="仿宋_GB2312" w:cs="仿宋_GB2312" w:eastAsia="仿宋_GB2312"/>
          <w:b w:val="false"/>
          <w:sz w:val="32"/>
        </w:rPr>
        <w:t xml:space="preserve">   2130706对村集体经济组织的补助支出50万元；</w:t>
      </w:r>
    </w:p>
    <w:p>
      <w:pPr>
        <w:ind w:firstLine="480"/>
        <w:jc w:val="both"/>
      </w:pPr>
      <w:r>
        <w:rPr>
          <w:rFonts w:ascii="仿宋_GB2312" w:hAnsi="仿宋_GB2312" w:cs="仿宋_GB2312" w:eastAsia="仿宋_GB2312"/>
          <w:b w:val="false"/>
          <w:sz w:val="32"/>
        </w:rPr>
        <w:t xml:space="preserve">   2139999其他农林水支出272.35万元；</w:t>
      </w:r>
    </w:p>
    <w:p>
      <w:pPr>
        <w:ind w:firstLine="480"/>
        <w:jc w:val="both"/>
      </w:pPr>
      <w:r>
        <w:rPr>
          <w:rFonts w:ascii="仿宋_GB2312" w:hAnsi="仿宋_GB2312" w:cs="仿宋_GB2312" w:eastAsia="仿宋_GB2312"/>
          <w:b w:val="false"/>
          <w:sz w:val="32"/>
        </w:rPr>
        <w:t xml:space="preserve">   2210105农村危房改造支出115.05万元；</w:t>
      </w:r>
    </w:p>
    <w:p>
      <w:pPr>
        <w:ind w:firstLine="480"/>
        <w:jc w:val="both"/>
      </w:pPr>
      <w:r>
        <w:rPr>
          <w:rFonts w:ascii="仿宋_GB2312" w:hAnsi="仿宋_GB2312" w:cs="仿宋_GB2312" w:eastAsia="仿宋_GB2312"/>
          <w:b w:val="false"/>
          <w:sz w:val="32"/>
        </w:rPr>
        <w:t xml:space="preserve">   2210201住房公积金支出74.18万元；</w:t>
      </w:r>
    </w:p>
    <w:p>
      <w:pPr>
        <w:ind w:firstLine="480"/>
        <w:jc w:val="both"/>
      </w:pPr>
      <w:r>
        <w:rPr>
          <w:rFonts w:ascii="仿宋_GB2312" w:hAnsi="仿宋_GB2312" w:cs="仿宋_GB2312" w:eastAsia="仿宋_GB2312"/>
          <w:b w:val="false"/>
          <w:sz w:val="32"/>
        </w:rPr>
        <w:t xml:space="preserve">   2299901其他支出60.59万元。</w:t>
      </w:r>
    </w:p>
    <w:p w14:paraId="049DFBB4" w14:textId="77777777" w:rsidR="008853A8" w:rsidRDefault="008853A8">
      <w:pPr>
        <w:ind w:firstLineChars="200" w:firstLine="640"/>
        <w:outlineLvl w:val="1"/>
        <w:rPr>
          <w:rFonts w:ascii="黑体" w:eastAsia="黑体" w:hAnsi="黑体" w:cs="宋体"/>
          <w:bCs/>
          <w:kern w:val="0"/>
          <w:sz w:val="32"/>
          <w:szCs w:val="32"/>
        </w:rPr>
      </w:pPr>
      <w:bookmarkStart w:id="18" w:name="_Toc11146"/>
      <w:bookmarkStart w:id="19" w:name="_Toc30870"/>
      <w:r>
        <w:rPr>
          <w:rFonts w:ascii="黑体" w:eastAsia="黑体" w:hAnsi="黑体" w:cs="宋体" w:hint="eastAsia"/>
          <w:bCs/>
          <w:kern w:val="0"/>
          <w:sz w:val="32"/>
          <w:szCs w:val="32"/>
        </w:rPr>
        <w:t>六、一般公共预算财政拨款基本支出决算情况说明</w:t>
      </w:r>
      <w:bookmarkEnd w:id="18"/>
      <w:bookmarkEnd w:id="19"/>
    </w:p>
    <w:p w14:paraId="3BCDD0A1" w14:textId="25AC9A26" w:rsidR="008853A8" w:rsidRDefault="005B1DE6">
      <w:pPr>
        <w:ind w:firstLineChars="200" w:firstLine="640"/>
        <w:rPr>
          <w:rFonts w:ascii="仿宋_GB2312" w:eastAsia="仿宋_GB2312"/>
          <w:sz w:val="32"/>
          <w:szCs w:val="32"/>
        </w:rPr>
      </w:pPr>
      <w:r>
        <w:rPr>
          <w:rFonts w:ascii="仿宋_GB2312" w:hAnsi="仿宋_GB2312" w:cs="仿宋_GB2312" w:eastAsia="仿宋_GB2312"/>
          <w:sz w:val="32"/>
        </w:rPr>
        <w:t>2019年度一般公共预算财政拨款基本支出944.76万元，其中：</w:t>
      </w:r>
    </w:p>
    <w:p w14:paraId="61C978B8" w14:textId="68C70B32"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人员经费934.50万元，包括：基本工资、津贴补贴、奖金、绩效工资、机关事业单位基本养老保险缴费、职工基本医疗保险缴费、公务员医疗补助缴费、其他社会保障缴费、住房公积金、其他工资福利支出、退休费、抚恤金、生活补助、奖励金。</w:t>
      </w:r>
    </w:p>
    <w:p w14:paraId="09290895" w14:textId="4CFD8C08"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公用经费10.26万元，包括：办公费、公务用车运行维护费。</w:t>
      </w:r>
    </w:p>
    <w:p w14:paraId="1F5CEF98" w14:textId="77777777" w:rsidR="008853A8" w:rsidRDefault="008853A8">
      <w:pPr>
        <w:ind w:firstLineChars="200" w:firstLine="640"/>
        <w:outlineLvl w:val="1"/>
        <w:rPr>
          <w:rFonts w:ascii="黑体" w:eastAsia="黑体" w:hAnsi="黑体" w:cs="宋体"/>
          <w:bCs/>
          <w:kern w:val="0"/>
          <w:sz w:val="32"/>
          <w:szCs w:val="32"/>
        </w:rPr>
      </w:pPr>
      <w:bookmarkStart w:id="20" w:name="_Toc7190"/>
      <w:bookmarkStart w:id="21" w:name="_Toc21518"/>
      <w:r>
        <w:rPr>
          <w:rFonts w:ascii="黑体" w:eastAsia="黑体" w:hAnsi="黑体" w:cs="宋体" w:hint="eastAsia"/>
          <w:bCs/>
          <w:kern w:val="0"/>
          <w:sz w:val="32"/>
          <w:szCs w:val="32"/>
        </w:rPr>
        <w:t>七、一般公共预算财政拨款“三公”经费支出决算情况说明</w:t>
      </w:r>
      <w:bookmarkEnd w:id="20"/>
      <w:bookmarkEnd w:id="21"/>
    </w:p>
    <w:p w14:paraId="4B605590" w14:textId="2ECB7DD7" w:rsidR="008853A8" w:rsidRDefault="00340AE7">
      <w:pPr>
        <w:ind w:firstLineChars="200" w:firstLine="640"/>
        <w:rPr>
          <w:rFonts w:ascii="仿宋_GB2312" w:eastAsia="仿宋_GB2312"/>
          <w:sz w:val="32"/>
          <w:szCs w:val="32"/>
        </w:rPr>
      </w:pPr>
      <w:r>
        <w:rPr>
          <w:rFonts w:ascii="仿宋_GB2312" w:hAnsi="仿宋_GB2312" w:cs="仿宋_GB2312" w:eastAsia="仿宋_GB2312"/>
          <w:sz w:val="32"/>
        </w:rPr>
        <w:t>2019年度一般公共预算“三公”经费支出决算1.56万元，比上年减少8.26万元，降低84.11%，主要原因是厉行节约，压缩“三公”经费开支。其中，因公出国（境）费支出0万元，占0%，比上年增加0万元，增长0%，主要原因是与上年相比无变动，与上年一致；公务用车购置及运行维护费支出1.56万元，占100%，比上年减少8.26万元，降低84.11%，主要原因是厉行节约，压缩“三公”经费开支；公务接待费支出0万元，占0%，比上年增加0万元，增长0%，主要原因是与上年相比无变动，与上年一致。具体情况如下：</w:t>
      </w:r>
    </w:p>
    <w:p w14:paraId="49BF49C2" w14:textId="3BDB51C0"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因公出国（境）费支出0万元，开支内容包括：预算未安排，无此项开支。单位全年安排的因公出国（境）团组0个，因公出国（境）0人次。</w:t>
      </w:r>
    </w:p>
    <w:p w14:paraId="4A7D6627" w14:textId="2636864C"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公务用车购置及运行维护费1.56万元，其中，公务用车购置费0万元，公务用车运行维护费1.56万元。公务用车运行维护费开支内容包括汽车油料、维护费、保险费、车辆年检费。公务用车购置数0辆，公务用车保有量4辆。</w:t>
      </w:r>
    </w:p>
    <w:p w14:paraId="47C4B55E" w14:textId="65759774"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公务接待费0万元，开支内容包括预算未安排，无此项支出。单位全年安排的国内公务接待0批次，0人次。</w:t>
      </w:r>
    </w:p>
    <w:p w14:paraId="606EB0C3" w14:textId="1E9AC7CE"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与年初预算数相比情况：一般公共预算“三公”经费支出年初预算数3.12万元，决算数1.56万元，预决算差异率-50%，主要原因是：财力有限，压缩“三公”经费开支，部分车辆运行维护费未使用，因此决算数小于年初预算数。其中：因公出国（境）费预算数0万元，决算数0万元，预决算差异率0%，主要原因是：预算未安排，也无相应支出，因此预决算无差异；公务用车购置费预算数0万元，决算数0万元，预决算差异率0%，主要原因是：预算未安排，也无相应支出，因此预决算无差异；公务用车运行费预算数3.12万元，决算数1.56万元，预决算差异率-50%，主要原因是：财力有限，压缩“三公”经费开支，部分车辆运行维护费未使用，因此决算数小于年初预算数；公务接待费预算数0万元，决算数0万元，预决算差异率0%，主要原因是：预算未安排，也无相应支出，因此预决算无差异。</w:t>
      </w:r>
    </w:p>
    <w:p w14:paraId="11800BF9" w14:textId="2A0977DB" w:rsidR="008853A8" w:rsidRDefault="008853A8">
      <w:pPr>
        <w:ind w:firstLineChars="200" w:firstLine="640"/>
        <w:outlineLvl w:val="1"/>
        <w:rPr>
          <w:rFonts w:ascii="黑体" w:eastAsia="黑体" w:hAnsi="黑体" w:cs="宋体"/>
          <w:bCs/>
          <w:kern w:val="0"/>
          <w:sz w:val="32"/>
          <w:szCs w:val="32"/>
        </w:rPr>
      </w:pPr>
      <w:bookmarkStart w:id="22" w:name="_Toc7927"/>
      <w:bookmarkStart w:id="23" w:name="_Toc5810"/>
      <w:r>
        <w:rPr>
          <w:rFonts w:ascii="黑体" w:eastAsia="黑体" w:hAnsi="黑体" w:cs="宋体" w:hint="eastAsia"/>
          <w:bCs/>
          <w:kern w:val="0"/>
          <w:sz w:val="32"/>
          <w:szCs w:val="32"/>
        </w:rPr>
        <w:t>八、政府性基金预算收入支出决算情况说明</w:t>
      </w:r>
      <w:bookmarkEnd w:id="22"/>
      <w:bookmarkEnd w:id="23"/>
    </w:p>
    <w:p w14:paraId="1D95B262" w14:textId="74B49A74" w:rsidR="008853A8" w:rsidRPr="008F7D99" w:rsidRDefault="00922FA7">
      <w:pPr>
        <w:ind w:firstLineChars="200" w:firstLine="640"/>
        <w:rPr>
          <w:rFonts w:ascii="仿宋_GB2312" w:eastAsia="仿宋_GB2312"/>
          <w:color w:val="000000" w:themeColor="text1"/>
          <w:sz w:val="32"/>
          <w:szCs w:val="32"/>
        </w:rPr>
      </w:pPr>
      <w:r>
        <w:rPr>
          <w:rFonts w:ascii="仿宋_GB2312" w:hAnsi="仿宋_GB2312" w:cs="仿宋_GB2312" w:eastAsia="仿宋_GB2312"/>
          <w:sz w:val="32"/>
        </w:rPr>
        <w:t>2019年度政府性基金预算财政拨款收入2.68万元，与上年相比，减少3.32万元，下降55.33%，主要原因是：上级专项资金较去年减少。政府性基金预算支出2.68万元，与上年相比，减少3.32万元，下降55.33%，主要原因是：上级专项资金较去年减少。</w:t>
      </w:r>
    </w:p>
    <w:p w14:paraId="12E90A62" w14:textId="77777777" w:rsidR="008853A8" w:rsidRDefault="008853A8">
      <w:pPr>
        <w:ind w:firstLineChars="200" w:firstLine="640"/>
        <w:outlineLvl w:val="1"/>
        <w:rPr>
          <w:rFonts w:ascii="黑体" w:eastAsia="黑体" w:hAnsi="黑体" w:cs="宋体"/>
          <w:bCs/>
          <w:kern w:val="0"/>
          <w:sz w:val="32"/>
          <w:szCs w:val="32"/>
        </w:rPr>
      </w:pPr>
      <w:bookmarkStart w:id="24" w:name="_Toc7314"/>
      <w:bookmarkStart w:id="25" w:name="_Toc1235"/>
      <w:r>
        <w:rPr>
          <w:rFonts w:ascii="黑体" w:eastAsia="黑体" w:hAnsi="黑体" w:cs="宋体" w:hint="eastAsia"/>
          <w:bCs/>
          <w:kern w:val="0"/>
          <w:sz w:val="32"/>
          <w:szCs w:val="32"/>
        </w:rPr>
        <w:t>九、其他重要事项的情况说明</w:t>
      </w:r>
      <w:bookmarkEnd w:id="24"/>
      <w:bookmarkEnd w:id="25"/>
    </w:p>
    <w:p w14:paraId="11400E99" w14:textId="77777777" w:rsidR="008853A8" w:rsidRDefault="008853A8">
      <w:pPr>
        <w:ind w:firstLineChars="200" w:firstLine="640"/>
        <w:outlineLvl w:val="2"/>
        <w:rPr>
          <w:rFonts w:ascii="黑体" w:eastAsia="黑体" w:hAnsi="黑体"/>
          <w:sz w:val="32"/>
          <w:szCs w:val="32"/>
        </w:rPr>
      </w:pPr>
      <w:bookmarkStart w:id="26" w:name="_Toc13105"/>
      <w:bookmarkStart w:id="27" w:name="_Toc14519"/>
      <w:r>
        <w:rPr>
          <w:rFonts w:ascii="黑体" w:eastAsia="黑体" w:hAnsi="黑体" w:hint="eastAsia"/>
          <w:sz w:val="32"/>
          <w:szCs w:val="32"/>
        </w:rPr>
        <w:t>（一）机关运行经费支出情况</w:t>
      </w:r>
      <w:bookmarkEnd w:id="26"/>
      <w:bookmarkEnd w:id="27"/>
    </w:p>
    <w:p w14:paraId="75A0F21C" w14:textId="3A75121C" w:rsidR="00553FB5" w:rsidRDefault="00553FB5">
      <w:pPr>
        <w:ind w:firstLineChars="200" w:firstLine="640"/>
        <w:rPr>
          <w:rFonts w:ascii="仿宋_GB2312" w:eastAsia="仿宋_GB2312"/>
          <w:sz w:val="32"/>
          <w:szCs w:val="32"/>
        </w:rPr>
      </w:pPr>
      <w:r>
        <w:rPr>
          <w:rFonts w:ascii="仿宋_GB2312" w:hAnsi="仿宋_GB2312" w:cs="仿宋_GB2312" w:eastAsia="仿宋_GB2312"/>
          <w:sz w:val="32"/>
        </w:rPr>
        <w:t>2019年度新疆喀什地区麦盖提县昂格特勒克乡人民政府机关运行经费支出10.26万元，比上年减少74.25万元，降低87.86%，主要原因是项目资金较去年减少，为实施项目所需的各项日常公用开支较去年减少。</w:t>
      </w:r>
    </w:p>
    <w:p w14:paraId="72BCBEBD" w14:textId="77777777" w:rsidR="008853A8" w:rsidRDefault="008853A8">
      <w:pPr>
        <w:ind w:firstLineChars="200" w:firstLine="640"/>
        <w:outlineLvl w:val="2"/>
        <w:rPr>
          <w:rFonts w:ascii="黑体" w:eastAsia="黑体" w:hAnsi="黑体"/>
          <w:sz w:val="32"/>
          <w:szCs w:val="32"/>
        </w:rPr>
      </w:pPr>
      <w:bookmarkStart w:id="28" w:name="_Toc26704"/>
      <w:bookmarkStart w:id="29" w:name="_Toc227"/>
      <w:r>
        <w:rPr>
          <w:rFonts w:ascii="黑体" w:eastAsia="黑体" w:hAnsi="黑体" w:hint="eastAsia"/>
          <w:sz w:val="32"/>
          <w:szCs w:val="32"/>
        </w:rPr>
        <w:t>（二）政府采购情况</w:t>
      </w:r>
      <w:bookmarkEnd w:id="28"/>
      <w:bookmarkEnd w:id="29"/>
    </w:p>
    <w:p w14:paraId="4DEE57E3" w14:textId="498B5E20" w:rsidR="008853A8" w:rsidRDefault="002122DE">
      <w:pPr>
        <w:ind w:firstLineChars="200" w:firstLine="640"/>
        <w:rPr>
          <w:rFonts w:ascii="仿宋_GB2312" w:eastAsia="仿宋_GB2312"/>
          <w:sz w:val="32"/>
          <w:szCs w:val="32"/>
        </w:rPr>
      </w:pPr>
      <w:r>
        <w:rPr>
          <w:rFonts w:ascii="仿宋_GB2312" w:hAnsi="仿宋_GB2312" w:cs="仿宋_GB2312" w:eastAsia="仿宋_GB2312"/>
          <w:sz w:val="32"/>
        </w:rPr>
        <w:t>2019年度政府采购支出总额121.91万元，其中：政府采购货物支出121.26万元、政府采购工程支出0万元、政府采购服务支出0.65万元。</w:t>
      </w:r>
    </w:p>
    <w:p w14:paraId="4BAE89CA" w14:textId="67110A70"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授予中小企业合同金额121.91万元，占政府采购支出总额的100%，其中：授予小微企业合同金额121.26万元，占政府采购支出总额的99.47%。</w:t>
      </w:r>
    </w:p>
    <w:p w14:paraId="01E8DA8F" w14:textId="77777777" w:rsidR="008853A8" w:rsidRDefault="008853A8">
      <w:pPr>
        <w:ind w:firstLineChars="200" w:firstLine="640"/>
        <w:outlineLvl w:val="2"/>
        <w:rPr>
          <w:rFonts w:ascii="黑体" w:eastAsia="黑体" w:hAnsi="黑体"/>
          <w:sz w:val="32"/>
          <w:szCs w:val="32"/>
        </w:rPr>
      </w:pPr>
      <w:bookmarkStart w:id="30" w:name="_Toc4591"/>
      <w:bookmarkStart w:id="31" w:name="_Toc8391"/>
      <w:r>
        <w:rPr>
          <w:rFonts w:ascii="黑体" w:eastAsia="黑体" w:hAnsi="黑体" w:hint="eastAsia"/>
          <w:sz w:val="32"/>
          <w:szCs w:val="32"/>
        </w:rPr>
        <w:t>（三）国有资产占用情况说明</w:t>
      </w:r>
      <w:bookmarkEnd w:id="30"/>
      <w:bookmarkEnd w:id="31"/>
    </w:p>
    <w:p w14:paraId="5D15610F" w14:textId="67052147" w:rsidR="008853A8" w:rsidRDefault="008853A8">
      <w:pPr>
        <w:ind w:firstLineChars="200" w:firstLine="640"/>
        <w:rPr>
          <w:rFonts w:ascii="仿宋_GB2312" w:eastAsia="仿宋_GB2312"/>
          <w:sz w:val="32"/>
          <w:szCs w:val="32"/>
        </w:rPr>
      </w:pPr>
      <w:r>
        <w:rPr>
          <w:rFonts w:ascii="仿宋_GB2312" w:hAnsi="仿宋_GB2312" w:cs="仿宋_GB2312" w:eastAsia="仿宋_GB2312"/>
          <w:sz w:val="32"/>
        </w:rPr>
        <w:t>截止2019年12月31日，单位共有房屋2,390.25（平方米），价值327.21万元。车辆4辆，价值40.54万元，其中：副部（省）级及以上领导用车0辆、主要领导干部用车0辆、机要通信用车0辆、应急保障用车0辆、执法执勤用车0辆、特种专业技术用车0辆、离退休干部用车0辆、其他用车4辆，其他用车主要是：一般公务用车；单位价值50万元以上通用设备1台（套）、单位价值100万元以上专用设备0台（套）。</w:t>
      </w:r>
    </w:p>
    <w:p w14:paraId="183976BD" w14:textId="77777777" w:rsidR="008853A8" w:rsidRDefault="008853A8">
      <w:pPr>
        <w:ind w:firstLineChars="200" w:firstLine="640"/>
        <w:outlineLvl w:val="1"/>
        <w:rPr>
          <w:rFonts w:ascii="黑体" w:eastAsia="黑体" w:hAnsi="黑体" w:cs="宋体"/>
          <w:bCs/>
          <w:kern w:val="0"/>
          <w:sz w:val="32"/>
          <w:szCs w:val="32"/>
        </w:rPr>
      </w:pPr>
      <w:bookmarkStart w:id="32" w:name="_Toc435"/>
      <w:bookmarkStart w:id="33" w:name="_Toc11283"/>
      <w:r>
        <w:rPr>
          <w:rFonts w:ascii="黑体" w:eastAsia="黑体" w:hAnsi="黑体" w:cs="宋体" w:hint="eastAsia"/>
          <w:bCs/>
          <w:kern w:val="0"/>
          <w:sz w:val="32"/>
          <w:szCs w:val="32"/>
        </w:rPr>
        <w:t>十、预算绩效的情况说明</w:t>
      </w:r>
      <w:bookmarkEnd w:id="32"/>
      <w:bookmarkEnd w:id="33"/>
    </w:p>
    <w:p w14:paraId="6F8CE58F" w14:textId="5A0ABE11" w:rsidR="008853A8" w:rsidRDefault="0095219B">
      <w:pPr>
        <w:ind w:firstLineChars="200" w:firstLine="640"/>
        <w:rPr>
          <w:rFonts w:ascii="仿宋_GB2312" w:eastAsia="仿宋_GB2312"/>
          <w:sz w:val="32"/>
          <w:szCs w:val="32"/>
        </w:rPr>
      </w:pPr>
      <w:r>
        <w:rPr>
          <w:rFonts w:ascii="仿宋_GB2312" w:hAnsi="仿宋_GB2312" w:cs="仿宋_GB2312" w:eastAsia="仿宋_GB2312"/>
          <w:sz w:val="32"/>
        </w:rPr>
        <w:t>根据预算绩效管理要求，我单位2019年度开展预算绩效评价项目4个，共涉及资金230.465万元。预算绩效管理取得的成效：1、村民服务中心建设：改善办公、生活环境，提高工作效率，增加村民文化娱乐场所的环境，改善周边基本环境，美化乡村。满足群众民主议事、宣传教育、技能培训、文艺演出、婚丧嫁娶、农民夜校、大宣讲、各种节日庆祝，都能保证实施，改善人居环境，方便群众生活，提高人民幸福感和生活水平；2、人员补贴项目：巩固农村干部和党员队伍，增强党组织的凝聚力和战斗力，加快农村经济发展，保持社会安定；天池计划人员采取培养锻炼、政策激励模式，从思想、工作、生活等方面加强“天池计划”人员的关心关爱力度；保障困难群众，优抚对象，等特殊群体生活的资金，给困难群众提供基本的生活保障；充分发挥“农民夜校”教育培训和理论宣讲作用，真正使农民夜校接地气见实效；缓解贫困学生上学难的经济压力,全面加强教育队伍建设；在沙漠上开展了多项的技术，带动当地人带头种植植物；改善贫困户生产生活条件，助力贫困户精准脱贫；对提供有利信息的人员进行奖励，广泛发动、组织和依靠群众预防犯罪，维护治安，是一种激励制度，让社会更加安定；规范宗教场所，宣传正确宗教文化，引导群众在清真寺进行宗教活动；3、经费类项目：保障各项工作高效、协调、健康、有序的发展；4、占地补偿费项目：带动经济发展，方便出行，增加农民收入，提高农民的积极性。发现的问题及原因：前期项目开展缓慢，导致了资金滞缓，影响了项目的进度。下一步改进措施：项目启动时同步做好档案的归纳与整理，及时整理、收集、汇总，健全档案资料。具体项目自评情况附项目支出绩效自评表。</w:t>
      </w:r>
    </w:p>
    <w:p w14:paraId="0B4F81EF" w14:textId="77777777" w:rsidR="008853A8" w:rsidRDefault="008853A8">
      <w:pPr>
        <w:ind w:firstLineChars="200" w:firstLine="640"/>
        <w:jc w:val="center"/>
        <w:outlineLvl w:val="0"/>
        <w:rPr>
          <w:rFonts w:ascii="黑体" w:eastAsia="黑体" w:hAnsi="黑体"/>
          <w:sz w:val="32"/>
          <w:szCs w:val="32"/>
        </w:rPr>
      </w:pPr>
      <w:bookmarkStart w:id="34" w:name="_Toc24143"/>
      <w:bookmarkStart w:id="35" w:name="_Toc3250"/>
      <w:r>
        <w:rPr>
          <w:rFonts w:ascii="黑体" w:eastAsia="黑体" w:hAnsi="黑体" w:hint="eastAsia"/>
          <w:sz w:val="32"/>
          <w:szCs w:val="32"/>
        </w:rPr>
        <w:t>第三部分 专业名词解释</w:t>
      </w:r>
      <w:bookmarkEnd w:id="34"/>
      <w:bookmarkEnd w:id="35"/>
    </w:p>
    <w:p w14:paraId="04385F5B"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财政拨款收入：指同级财政当年拨付的资金。</w:t>
      </w:r>
    </w:p>
    <w:p w14:paraId="01AEDC03"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上级补助收入：指事业单位从主管部门和上级单位取得的非财政补助收入。</w:t>
      </w:r>
    </w:p>
    <w:p w14:paraId="2C3B0A2D"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事业收入：指事业单位开展专业业务活动及其辅助活动所取得的收入。</w:t>
      </w:r>
    </w:p>
    <w:p w14:paraId="700224D5"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经营收入：指事业单位在专业业务活动及其辅助活动之外开展非独立核算经营活动取得的收入。</w:t>
      </w:r>
    </w:p>
    <w:p w14:paraId="1D4BF0F9"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附属单位上缴收入：指事业单位附属的独立核算单位按有关规定上缴的收入。</w:t>
      </w:r>
    </w:p>
    <w:p w14:paraId="05684206"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其他收入：指除上述“财政拨款收入”、“事业收入”、“经营收入”、“附属单位上缴收入”等之外取得的收入。</w:t>
      </w:r>
    </w:p>
    <w:p w14:paraId="0BB99130"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14:paraId="690389F8"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14:paraId="47D0DD63"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14:paraId="32CA0731"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基本支出：指为保障机构正常运转、完成日常工作任务而发生的人员支出和公用支出。</w:t>
      </w:r>
    </w:p>
    <w:p w14:paraId="0B82AFAE"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项目支出：指在基本支出之外为完成特定行政任务和事业发展目标所发生的支出。</w:t>
      </w:r>
    </w:p>
    <w:p w14:paraId="2F9A67A0"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经营支出：指事业单位在专业业务活动及其辅助活动之外开展非独立核算经营活动发生的支出。</w:t>
      </w:r>
    </w:p>
    <w:p w14:paraId="51862E8E"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对附属单位补助支出：指事业单位发生的用非财政预算资金对附属单位的补助支出。</w:t>
      </w:r>
    </w:p>
    <w:p w14:paraId="23B4D7BA" w14:textId="77777777" w:rsidR="008853A8" w:rsidRDefault="008853A8">
      <w:pPr>
        <w:autoSpaceDE w:val="0"/>
        <w:autoSpaceDN w:val="0"/>
        <w:ind w:firstLineChars="200" w:firstLine="640"/>
        <w:rPr>
          <w:rFonts w:ascii="仿宋_GB2312" w:eastAsia="仿宋_GB2312"/>
          <w:sz w:val="32"/>
          <w:szCs w:val="32"/>
        </w:rPr>
      </w:pPr>
      <w:r>
        <w:rPr>
          <w:rFonts w:ascii="仿宋_GB2312" w:eastAsia="仿宋_GB2312" w:hint="eastAsia"/>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6BC4C1C0" w14:textId="77777777" w:rsidR="008853A8" w:rsidRDefault="008853A8">
      <w:pPr>
        <w:ind w:firstLineChars="200" w:firstLine="640"/>
        <w:rPr>
          <w:rFonts w:ascii="仿宋_GB2312" w:eastAsia="仿宋_GB2312"/>
          <w:sz w:val="32"/>
          <w:szCs w:val="32"/>
        </w:rPr>
      </w:pPr>
      <w:r>
        <w:rPr>
          <w:rFonts w:ascii="仿宋_GB2312" w:eastAsia="仿宋_GB2312" w:hint="eastAsia"/>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7649D204" w14:textId="77777777" w:rsidR="008853A8" w:rsidRDefault="008853A8">
      <w:pPr>
        <w:ind w:firstLineChars="200" w:firstLine="640"/>
        <w:jc w:val="center"/>
        <w:outlineLvl w:val="0"/>
        <w:rPr>
          <w:rFonts w:ascii="黑体" w:eastAsia="黑体" w:hAnsi="黑体"/>
          <w:sz w:val="32"/>
          <w:szCs w:val="32"/>
        </w:rPr>
      </w:pPr>
      <w:bookmarkStart w:id="36" w:name="_Toc28903"/>
      <w:bookmarkStart w:id="37" w:name="_Toc22784"/>
      <w:r>
        <w:rPr>
          <w:rFonts w:ascii="黑体" w:eastAsia="黑体" w:hAnsi="黑体" w:hint="eastAsia"/>
          <w:sz w:val="32"/>
          <w:szCs w:val="32"/>
        </w:rPr>
        <w:t>第四部分 部门决算报表（见附表）</w:t>
      </w:r>
      <w:bookmarkEnd w:id="36"/>
      <w:bookmarkEnd w:id="37"/>
    </w:p>
    <w:p w14:paraId="090AD99E" w14:textId="77777777" w:rsidR="008853A8" w:rsidRDefault="008853A8">
      <w:pPr>
        <w:ind w:firstLineChars="200" w:firstLine="640"/>
        <w:outlineLvl w:val="1"/>
        <w:rPr>
          <w:rFonts w:ascii="黑体" w:eastAsia="黑体" w:hAnsi="黑体" w:cs="宋体"/>
          <w:bCs/>
          <w:kern w:val="0"/>
          <w:sz w:val="32"/>
          <w:szCs w:val="32"/>
        </w:rPr>
      </w:pPr>
      <w:bookmarkStart w:id="38" w:name="_Toc6062"/>
      <w:bookmarkStart w:id="39" w:name="_Toc2183"/>
      <w:r>
        <w:rPr>
          <w:rFonts w:ascii="黑体" w:eastAsia="黑体" w:hAnsi="黑体" w:cs="宋体" w:hint="eastAsia"/>
          <w:bCs/>
          <w:kern w:val="0"/>
          <w:sz w:val="32"/>
          <w:szCs w:val="32"/>
        </w:rPr>
        <w:t>一、《收入支出决算总表》</w:t>
      </w:r>
      <w:bookmarkEnd w:id="38"/>
      <w:bookmarkEnd w:id="39"/>
    </w:p>
    <w:p w14:paraId="004B471D" w14:textId="77777777" w:rsidR="008853A8" w:rsidRDefault="008853A8">
      <w:pPr>
        <w:ind w:firstLineChars="200" w:firstLine="640"/>
        <w:outlineLvl w:val="1"/>
        <w:rPr>
          <w:rFonts w:ascii="黑体" w:eastAsia="黑体" w:hAnsi="黑体" w:cs="宋体"/>
          <w:bCs/>
          <w:kern w:val="0"/>
          <w:sz w:val="32"/>
          <w:szCs w:val="32"/>
        </w:rPr>
      </w:pPr>
      <w:bookmarkStart w:id="40" w:name="_Toc30364"/>
      <w:bookmarkStart w:id="41" w:name="_Toc24532"/>
      <w:r>
        <w:rPr>
          <w:rFonts w:ascii="黑体" w:eastAsia="黑体" w:hAnsi="黑体" w:cs="宋体" w:hint="eastAsia"/>
          <w:bCs/>
          <w:kern w:val="0"/>
          <w:sz w:val="32"/>
          <w:szCs w:val="32"/>
        </w:rPr>
        <w:t>二、《收入决算表》</w:t>
      </w:r>
      <w:bookmarkEnd w:id="40"/>
      <w:bookmarkEnd w:id="41"/>
    </w:p>
    <w:p w14:paraId="62F3C64D" w14:textId="77777777" w:rsidR="008853A8" w:rsidRDefault="008853A8">
      <w:pPr>
        <w:ind w:firstLineChars="200" w:firstLine="640"/>
        <w:outlineLvl w:val="1"/>
        <w:rPr>
          <w:rFonts w:ascii="黑体" w:eastAsia="黑体" w:hAnsi="黑体" w:cs="宋体"/>
          <w:bCs/>
          <w:kern w:val="0"/>
          <w:sz w:val="32"/>
          <w:szCs w:val="32"/>
        </w:rPr>
      </w:pPr>
      <w:bookmarkStart w:id="42" w:name="_Toc21304"/>
      <w:bookmarkStart w:id="43" w:name="_Toc32434"/>
      <w:r>
        <w:rPr>
          <w:rFonts w:ascii="黑体" w:eastAsia="黑体" w:hAnsi="黑体" w:cs="宋体" w:hint="eastAsia"/>
          <w:bCs/>
          <w:kern w:val="0"/>
          <w:sz w:val="32"/>
          <w:szCs w:val="32"/>
        </w:rPr>
        <w:t>三、《支出决算表》</w:t>
      </w:r>
      <w:bookmarkEnd w:id="42"/>
      <w:bookmarkEnd w:id="43"/>
    </w:p>
    <w:p w14:paraId="3D0B5C9A" w14:textId="77777777" w:rsidR="008853A8" w:rsidRDefault="008853A8">
      <w:pPr>
        <w:ind w:firstLineChars="200" w:firstLine="640"/>
        <w:outlineLvl w:val="1"/>
        <w:rPr>
          <w:rFonts w:ascii="黑体" w:eastAsia="黑体" w:hAnsi="黑体" w:cs="宋体"/>
          <w:bCs/>
          <w:kern w:val="0"/>
          <w:sz w:val="32"/>
          <w:szCs w:val="32"/>
        </w:rPr>
      </w:pPr>
      <w:bookmarkStart w:id="44" w:name="_Toc14238"/>
      <w:bookmarkStart w:id="45" w:name="_Toc28786"/>
      <w:r>
        <w:rPr>
          <w:rFonts w:ascii="黑体" w:eastAsia="黑体" w:hAnsi="黑体" w:cs="宋体" w:hint="eastAsia"/>
          <w:bCs/>
          <w:kern w:val="0"/>
          <w:sz w:val="32"/>
          <w:szCs w:val="32"/>
        </w:rPr>
        <w:t>四、《财政拨款收入支出决算总表》</w:t>
      </w:r>
      <w:bookmarkEnd w:id="44"/>
      <w:bookmarkEnd w:id="45"/>
    </w:p>
    <w:p w14:paraId="77EC65FF" w14:textId="77777777" w:rsidR="008853A8" w:rsidRDefault="008853A8">
      <w:pPr>
        <w:ind w:firstLineChars="200" w:firstLine="640"/>
        <w:outlineLvl w:val="1"/>
        <w:rPr>
          <w:rFonts w:ascii="黑体" w:eastAsia="黑体" w:hAnsi="黑体" w:cs="宋体"/>
          <w:bCs/>
          <w:kern w:val="0"/>
          <w:sz w:val="32"/>
          <w:szCs w:val="32"/>
        </w:rPr>
      </w:pPr>
      <w:bookmarkStart w:id="46" w:name="_Toc10347"/>
      <w:bookmarkStart w:id="47" w:name="_Toc14869"/>
      <w:r>
        <w:rPr>
          <w:rFonts w:ascii="黑体" w:eastAsia="黑体" w:hAnsi="黑体" w:cs="宋体" w:hint="eastAsia"/>
          <w:bCs/>
          <w:kern w:val="0"/>
          <w:sz w:val="32"/>
          <w:szCs w:val="32"/>
        </w:rPr>
        <w:t>五、《一般公共预算财政拨款支出决算表》</w:t>
      </w:r>
      <w:bookmarkEnd w:id="46"/>
      <w:bookmarkEnd w:id="47"/>
    </w:p>
    <w:p w14:paraId="4311D09D" w14:textId="77777777" w:rsidR="008853A8" w:rsidRDefault="008853A8">
      <w:pPr>
        <w:ind w:firstLineChars="200" w:firstLine="640"/>
        <w:outlineLvl w:val="1"/>
        <w:rPr>
          <w:rFonts w:ascii="黑体" w:eastAsia="黑体" w:hAnsi="黑体" w:cs="宋体"/>
          <w:bCs/>
          <w:kern w:val="0"/>
          <w:sz w:val="32"/>
          <w:szCs w:val="32"/>
        </w:rPr>
      </w:pPr>
      <w:bookmarkStart w:id="48" w:name="_Toc5626"/>
      <w:bookmarkStart w:id="49" w:name="_Toc8884"/>
      <w:r>
        <w:rPr>
          <w:rFonts w:ascii="黑体" w:eastAsia="黑体" w:hAnsi="黑体" w:cs="宋体" w:hint="eastAsia"/>
          <w:bCs/>
          <w:kern w:val="0"/>
          <w:sz w:val="32"/>
          <w:szCs w:val="32"/>
        </w:rPr>
        <w:t>六、《一般公共预算财政拨款基本支出决算表》</w:t>
      </w:r>
      <w:bookmarkEnd w:id="48"/>
      <w:bookmarkEnd w:id="49"/>
    </w:p>
    <w:p w14:paraId="1D7CDCF2" w14:textId="77777777" w:rsidR="008853A8" w:rsidRDefault="008853A8">
      <w:pPr>
        <w:ind w:firstLineChars="200" w:firstLine="640"/>
        <w:outlineLvl w:val="1"/>
        <w:rPr>
          <w:rFonts w:ascii="黑体" w:eastAsia="黑体" w:hAnsi="黑体" w:cs="宋体"/>
          <w:bCs/>
          <w:kern w:val="0"/>
          <w:sz w:val="32"/>
          <w:szCs w:val="32"/>
        </w:rPr>
      </w:pPr>
      <w:bookmarkStart w:id="50" w:name="_Toc32663"/>
      <w:bookmarkStart w:id="51" w:name="_Toc29106"/>
      <w:r>
        <w:rPr>
          <w:rFonts w:ascii="黑体" w:eastAsia="黑体" w:hAnsi="黑体" w:cs="宋体" w:hint="eastAsia"/>
          <w:bCs/>
          <w:kern w:val="0"/>
          <w:sz w:val="32"/>
          <w:szCs w:val="32"/>
        </w:rPr>
        <w:t>七、《一般公共预算财政拨款“三公”经费支出决算表》</w:t>
      </w:r>
      <w:bookmarkEnd w:id="50"/>
      <w:bookmarkEnd w:id="51"/>
    </w:p>
    <w:p w14:paraId="5A34F572" w14:textId="77777777" w:rsidR="008853A8" w:rsidRDefault="008853A8">
      <w:pPr>
        <w:ind w:firstLineChars="200" w:firstLine="640"/>
        <w:outlineLvl w:val="1"/>
        <w:rPr>
          <w:rFonts w:ascii="黑体" w:eastAsia="黑体" w:hAnsi="黑体" w:cs="宋体"/>
          <w:bCs/>
          <w:kern w:val="0"/>
          <w:sz w:val="32"/>
          <w:szCs w:val="32"/>
        </w:rPr>
      </w:pPr>
      <w:bookmarkStart w:id="52" w:name="_Toc5453"/>
      <w:bookmarkStart w:id="53" w:name="_Toc7643"/>
      <w:r>
        <w:rPr>
          <w:rFonts w:ascii="黑体" w:eastAsia="黑体" w:hAnsi="黑体" w:cs="宋体" w:hint="eastAsia"/>
          <w:bCs/>
          <w:kern w:val="0"/>
          <w:sz w:val="32"/>
          <w:szCs w:val="32"/>
        </w:rPr>
        <w:t>八、《政府性基金预算财政拨款收入支出决算表》</w:t>
      </w:r>
      <w:bookmarkEnd w:id="52"/>
      <w:bookmarkEnd w:id="53"/>
    </w:p>
    <w:sectPr w:rsidR="008853A8">
      <w:footerReference w:type="default" r:id="rId6"/>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C45808" w14:textId="77777777" w:rsidR="0088099A" w:rsidRDefault="0088099A">
      <w:r>
        <w:separator/>
      </w:r>
    </w:p>
  </w:endnote>
  <w:endnote w:type="continuationSeparator" w:id="0">
    <w:p w14:paraId="1F226AA3" w14:textId="77777777" w:rsidR="0088099A" w:rsidRDefault="00880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10" w:usb3="00000000" w:csb0="00040000" w:csb1="00000000"/>
  </w:font>
  <w:font w:name="仿宋_GB2312">
    <w:altName w:val="微软雅黑"/>
    <w:charset w:val="86"/>
    <w:family w:val="modern"/>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2C3B13" w14:textId="7F39015E" w:rsidR="008853A8" w:rsidRDefault="004F1D2D">
    <w:pPr>
      <w:pStyle w:val="a4"/>
    </w:pPr>
    <w:r>
      <w:rPr>
        <w:noProof/>
      </w:rPr>
      <mc:AlternateContent>
        <mc:Choice Requires="wps">
          <w:drawing>
            <wp:anchor distT="0" distB="0" distL="114300" distR="114300" simplePos="0" relativeHeight="251657728" behindDoc="0" locked="0" layoutInCell="1" allowOverlap="1" wp14:anchorId="5D818AEF" wp14:editId="432F0E00">
              <wp:simplePos x="0" y="0"/>
              <wp:positionH relativeFrom="margin">
                <wp:align>center</wp:align>
              </wp:positionH>
              <wp:positionV relativeFrom="paragraph">
                <wp:posOffset>0</wp:posOffset>
              </wp:positionV>
              <wp:extent cx="1828800" cy="1828800"/>
              <wp:effectExtent l="0" t="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BBD847" w14:textId="77777777" w:rsidR="008853A8" w:rsidRDefault="008853A8">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D818AEF" id="_x0000_t202" coordsize="21600,21600" o:spt="202" path="m,l,21600r21600,l21600,xe">
              <v:stroke joinstyle="miter"/>
              <v:path gradientshapeok="t" o:connecttype="rect"/>
            </v:shapetype>
            <v:shape id="文本框 1" o:spid="_x0000_s1026" type="#_x0000_t202" style="position:absolute;margin-left:0;margin-top:0;width:2in;height:2in;z-index:251657728;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ncV47QEAALYDAAAOAAAAZHJzL2Uyb0RvYy54bWysU82O0zAQviPxDpbvNGkPqIqarpZdFSEt P9LCAziOk1jEHmvsNikPAG/AiQt3nqvPwdhpyrJ7Q1yssT3+5ptvPm+uRtOzg0KvwZZ8ucg5U1ZC rW1b8k8fdy/WnPkgbC16sKrkR+X51fb5s83gCrWCDvpaISMQ64vBlbwLwRVZ5mWnjPALcMrSZQNo RKAttlmNYiB002erPH+ZDYC1Q5DKezq9nS75NuE3jZLhfdN4FVhfcuIW0oppreKabTeiaFG4Tssz DfEPLIzQlopeoG5FEGyP+gmU0RLBQxMWEkwGTaOlSj1QN8v8UTf3nXAq9ULieHeRyf8/WPnu8AGZ rml2nFlhaESn799OP36dfn5lyyjP4HxBWfeO8sL4CsaYGlv17g7kZ88s3HTCtuoaEYZOiZropZfZ g6cTjo8g1fAWaqoj9gES0NigiYCkBiN0GtPxMho1BiZjyfVqvc7pStLdvCF2mSjm5w59eK3AsBiU HGn2CV4c7nyYUueUWM3CTvd9mn9v/zogzHiS6EfGE/cwVuNZjgrqIzWCMNmJ7E9BB/iFs4GsVHJL Xuesf2NJiui6OcA5qOZAWEkPSx44m8KbMLlz71C3HeHOYl+TXDudGom6ThzOLMkcSYqzkaP7Hu5T 1p/vtv0NAAD//wMAUEsDBBQABgAIAAAAIQAMSvDu1gAAAAUBAAAPAAAAZHJzL2Rvd25yZXYueG1s TI9Ba8MwDIXvg/4Ho8Juq9MetpDFKaXQS2/rxmA3N1bjMFsOtpsm/37aGGwXoccTT9+rt5N3YsSY +kAK1qsCBFIbTE+dgrfXw0MJImVNRrtAqGDGBNtmcVfryoQbveB4yp3gEEqVVmBzHiopU2vR67QK AxJ7lxC9zixjJ03UNw73Tm6K4lF63RN/sHrAvcX283T1Cp6m94BDwj1+XMY22n4u3XFW6n457Z5B ZJzy3zF84zM6NMx0DlcySTgFXCT/TPY2Zcny/LvIppb/6ZsvAAAA//8DAFBLAQItABQABgAIAAAA IQC2gziS/gAAAOEBAAATAAAAAAAAAAAAAAAAAAAAAABbQ29udGVudF9UeXBlc10ueG1sUEsBAi0A FAAGAAgAAAAhADj9If/WAAAAlAEAAAsAAAAAAAAAAAAAAAAALwEAAF9yZWxzLy5yZWxzUEsBAi0A FAAGAAgAAAAhAB6dxXjtAQAAtgMAAA4AAAAAAAAAAAAAAAAALgIAAGRycy9lMm9Eb2MueG1sUEsB Ai0AFAAGAAgAAAAhAAxK8O7WAAAABQEAAA8AAAAAAAAAAAAAAAAARwQAAGRycy9kb3ducmV2Lnht bFBLBQYAAAAABAAEAPMAAABKBQAAAAA= " filled="f" stroked="f">
              <v:textbox style="mso-fit-shape-to-text:t" inset="0,0,0,0">
                <w:txbxContent>
                  <w:p w14:paraId="4DBBD847" w14:textId="77777777" w:rsidR="008853A8" w:rsidRDefault="008853A8">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31E4CB" w14:textId="77777777" w:rsidR="0088099A" w:rsidRDefault="0088099A">
      <w:r>
        <w:separator/>
      </w:r>
    </w:p>
  </w:footnote>
  <w:footnote w:type="continuationSeparator" w:id="0">
    <w:p w14:paraId="30BF4204" w14:textId="77777777" w:rsidR="0088099A" w:rsidRDefault="0088099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00"/>
  <w:bordersDoNotSurroundHeader/>
  <w:bordersDoNotSurroundFooter/>
  <w:documentProtection w:enforcement="1" w:edit="comments" w:salt="1LT6bQpmhTSHFlGpLILIJw==" w:hash="mJ5AcTSsxb02tKUrX85XW970WZY=" w:cryptSpinCount="100000" w:cryptAlgorithmType="typeAny" w:cryptAlgorithmClass="hash" w:cryptProviderType="rsaFull" w:cryptAlgorithmSid="4"/>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E66"/>
    <w:rsid w:val="000033EF"/>
    <w:rsid w:val="00004533"/>
    <w:rsid w:val="00005A21"/>
    <w:rsid w:val="0004063C"/>
    <w:rsid w:val="000701A7"/>
    <w:rsid w:val="00082456"/>
    <w:rsid w:val="000A663A"/>
    <w:rsid w:val="000B5514"/>
    <w:rsid w:val="000B57B8"/>
    <w:rsid w:val="000B69AB"/>
    <w:rsid w:val="000F01B7"/>
    <w:rsid w:val="000F6705"/>
    <w:rsid w:val="001111D4"/>
    <w:rsid w:val="001128A8"/>
    <w:rsid w:val="001130AE"/>
    <w:rsid w:val="001237CF"/>
    <w:rsid w:val="00125A6F"/>
    <w:rsid w:val="0014029C"/>
    <w:rsid w:val="00144642"/>
    <w:rsid w:val="00146FA3"/>
    <w:rsid w:val="001573AA"/>
    <w:rsid w:val="00162E66"/>
    <w:rsid w:val="001826D1"/>
    <w:rsid w:val="001848EE"/>
    <w:rsid w:val="00186B3B"/>
    <w:rsid w:val="001C2D35"/>
    <w:rsid w:val="001C5BE8"/>
    <w:rsid w:val="001C6E66"/>
    <w:rsid w:val="001D3634"/>
    <w:rsid w:val="001D37EF"/>
    <w:rsid w:val="001E4D79"/>
    <w:rsid w:val="001F29A9"/>
    <w:rsid w:val="001F777A"/>
    <w:rsid w:val="002122DE"/>
    <w:rsid w:val="00227229"/>
    <w:rsid w:val="002328AF"/>
    <w:rsid w:val="00233021"/>
    <w:rsid w:val="0024217C"/>
    <w:rsid w:val="00243E6C"/>
    <w:rsid w:val="00246EBC"/>
    <w:rsid w:val="00265F92"/>
    <w:rsid w:val="00272845"/>
    <w:rsid w:val="00282550"/>
    <w:rsid w:val="00287829"/>
    <w:rsid w:val="0029171A"/>
    <w:rsid w:val="00292B7F"/>
    <w:rsid w:val="00292C0A"/>
    <w:rsid w:val="002A4B19"/>
    <w:rsid w:val="002B072F"/>
    <w:rsid w:val="002B37DA"/>
    <w:rsid w:val="002B7A04"/>
    <w:rsid w:val="002D187F"/>
    <w:rsid w:val="002F1732"/>
    <w:rsid w:val="003106FF"/>
    <w:rsid w:val="00327986"/>
    <w:rsid w:val="003314E6"/>
    <w:rsid w:val="00340AE7"/>
    <w:rsid w:val="00354737"/>
    <w:rsid w:val="0037159F"/>
    <w:rsid w:val="00377EC6"/>
    <w:rsid w:val="003920B8"/>
    <w:rsid w:val="003A44F0"/>
    <w:rsid w:val="003C3EF4"/>
    <w:rsid w:val="003D1DD1"/>
    <w:rsid w:val="003E5F70"/>
    <w:rsid w:val="003F60E1"/>
    <w:rsid w:val="00400D8F"/>
    <w:rsid w:val="004161A5"/>
    <w:rsid w:val="00430E56"/>
    <w:rsid w:val="004318F5"/>
    <w:rsid w:val="00456820"/>
    <w:rsid w:val="00471387"/>
    <w:rsid w:val="00471BBD"/>
    <w:rsid w:val="0047268F"/>
    <w:rsid w:val="004A41CF"/>
    <w:rsid w:val="004A44C9"/>
    <w:rsid w:val="004B2E7F"/>
    <w:rsid w:val="004B3B3F"/>
    <w:rsid w:val="004D35C0"/>
    <w:rsid w:val="004E519F"/>
    <w:rsid w:val="004F1D2D"/>
    <w:rsid w:val="004F506B"/>
    <w:rsid w:val="00531503"/>
    <w:rsid w:val="00534ECA"/>
    <w:rsid w:val="005358C2"/>
    <w:rsid w:val="005474EB"/>
    <w:rsid w:val="005506DD"/>
    <w:rsid w:val="005529D0"/>
    <w:rsid w:val="00553FB5"/>
    <w:rsid w:val="00554A58"/>
    <w:rsid w:val="00560394"/>
    <w:rsid w:val="0056525F"/>
    <w:rsid w:val="005B1DE6"/>
    <w:rsid w:val="005C11EB"/>
    <w:rsid w:val="006032AE"/>
    <w:rsid w:val="00684E46"/>
    <w:rsid w:val="0068591E"/>
    <w:rsid w:val="00690F22"/>
    <w:rsid w:val="00693012"/>
    <w:rsid w:val="006B0B73"/>
    <w:rsid w:val="006D2B94"/>
    <w:rsid w:val="006D3853"/>
    <w:rsid w:val="006E0721"/>
    <w:rsid w:val="0070295D"/>
    <w:rsid w:val="00725755"/>
    <w:rsid w:val="0075023C"/>
    <w:rsid w:val="00750D8A"/>
    <w:rsid w:val="00764051"/>
    <w:rsid w:val="00772611"/>
    <w:rsid w:val="007741F8"/>
    <w:rsid w:val="007B0022"/>
    <w:rsid w:val="007E2E4F"/>
    <w:rsid w:val="007E3BFD"/>
    <w:rsid w:val="00807B4B"/>
    <w:rsid w:val="008144CF"/>
    <w:rsid w:val="00822EED"/>
    <w:rsid w:val="00827663"/>
    <w:rsid w:val="00847CE1"/>
    <w:rsid w:val="00852D88"/>
    <w:rsid w:val="00857132"/>
    <w:rsid w:val="00862395"/>
    <w:rsid w:val="0088099A"/>
    <w:rsid w:val="008853A8"/>
    <w:rsid w:val="00887778"/>
    <w:rsid w:val="008A54C1"/>
    <w:rsid w:val="008D5B57"/>
    <w:rsid w:val="008F7D99"/>
    <w:rsid w:val="0090080D"/>
    <w:rsid w:val="00922FA7"/>
    <w:rsid w:val="00927301"/>
    <w:rsid w:val="009351E1"/>
    <w:rsid w:val="0094423A"/>
    <w:rsid w:val="0095219B"/>
    <w:rsid w:val="00963E2E"/>
    <w:rsid w:val="009774AD"/>
    <w:rsid w:val="00980F6F"/>
    <w:rsid w:val="00993788"/>
    <w:rsid w:val="009A173F"/>
    <w:rsid w:val="009C479E"/>
    <w:rsid w:val="009F4245"/>
    <w:rsid w:val="009F594D"/>
    <w:rsid w:val="00A009B3"/>
    <w:rsid w:val="00A239E7"/>
    <w:rsid w:val="00A34EDA"/>
    <w:rsid w:val="00A77ECE"/>
    <w:rsid w:val="00AA13D0"/>
    <w:rsid w:val="00AC0B18"/>
    <w:rsid w:val="00AC1D87"/>
    <w:rsid w:val="00AC2605"/>
    <w:rsid w:val="00AE136F"/>
    <w:rsid w:val="00AE6C82"/>
    <w:rsid w:val="00AE7A56"/>
    <w:rsid w:val="00AF0871"/>
    <w:rsid w:val="00AF530E"/>
    <w:rsid w:val="00AF5DFE"/>
    <w:rsid w:val="00B006E5"/>
    <w:rsid w:val="00B24234"/>
    <w:rsid w:val="00B3219F"/>
    <w:rsid w:val="00B42062"/>
    <w:rsid w:val="00B64D13"/>
    <w:rsid w:val="00B76725"/>
    <w:rsid w:val="00BC38D2"/>
    <w:rsid w:val="00BC65E4"/>
    <w:rsid w:val="00BE0A9F"/>
    <w:rsid w:val="00BF4880"/>
    <w:rsid w:val="00C01003"/>
    <w:rsid w:val="00C2317E"/>
    <w:rsid w:val="00C87860"/>
    <w:rsid w:val="00C92609"/>
    <w:rsid w:val="00C974A0"/>
    <w:rsid w:val="00CA0969"/>
    <w:rsid w:val="00CB7A14"/>
    <w:rsid w:val="00CC66CE"/>
    <w:rsid w:val="00CD1E0A"/>
    <w:rsid w:val="00CE40E2"/>
    <w:rsid w:val="00CE4AEB"/>
    <w:rsid w:val="00CE74CB"/>
    <w:rsid w:val="00D00B68"/>
    <w:rsid w:val="00D04E19"/>
    <w:rsid w:val="00D6644C"/>
    <w:rsid w:val="00D71F68"/>
    <w:rsid w:val="00D767F4"/>
    <w:rsid w:val="00DA07A0"/>
    <w:rsid w:val="00DB4A9A"/>
    <w:rsid w:val="00DB6F81"/>
    <w:rsid w:val="00DD3B82"/>
    <w:rsid w:val="00E02851"/>
    <w:rsid w:val="00E43F43"/>
    <w:rsid w:val="00E76594"/>
    <w:rsid w:val="00EA656B"/>
    <w:rsid w:val="00EB1FF2"/>
    <w:rsid w:val="00EB42AF"/>
    <w:rsid w:val="00EB49C8"/>
    <w:rsid w:val="00EE3598"/>
    <w:rsid w:val="00EE791B"/>
    <w:rsid w:val="00EF3292"/>
    <w:rsid w:val="00F040C7"/>
    <w:rsid w:val="00F04DC0"/>
    <w:rsid w:val="00F24BA1"/>
    <w:rsid w:val="00F45607"/>
    <w:rsid w:val="00F552F7"/>
    <w:rsid w:val="00F57EE2"/>
    <w:rsid w:val="00F67C07"/>
    <w:rsid w:val="00F777E1"/>
    <w:rsid w:val="00F80266"/>
    <w:rsid w:val="00F83E19"/>
    <w:rsid w:val="00FB3828"/>
    <w:rsid w:val="00FC7A52"/>
    <w:rsid w:val="00FE0761"/>
    <w:rsid w:val="00FF5166"/>
    <w:rsid w:val="06792773"/>
    <w:rsid w:val="1DAF458D"/>
    <w:rsid w:val="2A053397"/>
    <w:rsid w:val="2D1136DF"/>
    <w:rsid w:val="31C63837"/>
    <w:rsid w:val="3D5275AC"/>
    <w:rsid w:val="46901EEE"/>
    <w:rsid w:val="469C74D2"/>
    <w:rsid w:val="50DB5F45"/>
    <w:rsid w:val="69AD798C"/>
    <w:rsid w:val="6B68175F"/>
    <w:rsid w:val="73FB6630"/>
    <w:rsid w:val="77ED6F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A131AF"/>
  <w15:chartTrackingRefBased/>
  <w15:docId w15:val="{7A89F94D-944E-49B7-A5B0-21D8D0FEA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2">
    <w:name w:val="toc 2"/>
    <w:basedOn w:val="a"/>
    <w:next w:val="a"/>
    <w:pPr>
      <w:ind w:leftChars="200" w:left="420"/>
    </w:pPr>
  </w:style>
  <w:style w:type="paragraph" w:styleId="TOC1">
    <w:name w:val="toc 1"/>
    <w:basedOn w:val="a"/>
    <w:next w:val="a"/>
  </w:style>
  <w:style w:type="paragraph" w:styleId="a3">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3">
    <w:name w:val="toc 3"/>
    <w:basedOn w:val="a"/>
    <w:next w:val="a"/>
    <w:pPr>
      <w:ind w:leftChars="400" w:left="840"/>
    </w:pPr>
  </w:style>
  <w:style w:type="paragraph" w:styleId="a4">
    <w:name w:val="footer"/>
    <w:basedOn w:val="a"/>
    <w:pPr>
      <w:tabs>
        <w:tab w:val="center" w:pos="4153"/>
        <w:tab w:val="right" w:pos="8306"/>
      </w:tabs>
      <w:snapToGrid w:val="0"/>
      <w:jc w:val="left"/>
    </w:pPr>
    <w:rPr>
      <w:sz w:val="18"/>
    </w:rPr>
  </w:style>
  <w:style w:type="paragraph" w:styleId="a5">
    <w:name w:val="annotation text"/>
    <w:basedOn w:val="a"/>
    <w:pPr>
      <w:jc w:val="left"/>
    </w:pPr>
  </w:style>
  <w:style w:type="paragraph" w:customStyle="1" w:styleId="WPSOffice3">
    <w:name w:val="WPSOffice手动目录 3"/>
    <w:pPr>
      <w:ind w:leftChars="400" w:left="400"/>
    </w:pPr>
  </w:style>
  <w:style w:type="paragraph" w:customStyle="1" w:styleId="WPSOffice2">
    <w:name w:val="WPSOffice手动目录 2"/>
    <w:pPr>
      <w:ind w:leftChars="200" w:left="200"/>
    </w:pPr>
  </w:style>
  <w:style w:type="paragraph" w:customStyle="1" w:styleId="WPSOffice1">
    <w:name w:val="WPSOffice手动目录 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7381100">
      <w:bodyDiv w:val="1"/>
      <w:marLeft w:val="0"/>
      <w:marRight w:val="0"/>
      <w:marTop w:val="0"/>
      <w:marBottom w:val="0"/>
      <w:divBdr>
        <w:top w:val="none" w:sz="0" w:space="0" w:color="auto"/>
        <w:left w:val="none" w:sz="0" w:space="0" w:color="auto"/>
        <w:bottom w:val="none" w:sz="0" w:space="0" w:color="auto"/>
        <w:right w:val="none" w:sz="0" w:space="0" w:color="auto"/>
      </w:divBdr>
    </w:div>
    <w:div w:id="726150857">
      <w:bodyDiv w:val="1"/>
      <w:marLeft w:val="0"/>
      <w:marRight w:val="0"/>
      <w:marTop w:val="0"/>
      <w:marBottom w:val="0"/>
      <w:divBdr>
        <w:top w:val="none" w:sz="0" w:space="0" w:color="auto"/>
        <w:left w:val="none" w:sz="0" w:space="0" w:color="auto"/>
        <w:bottom w:val="none" w:sz="0" w:space="0" w:color="auto"/>
        <w:right w:val="none" w:sz="0" w:space="0" w:color="auto"/>
      </w:divBdr>
    </w:div>
    <w:div w:id="1085761621">
      <w:bodyDiv w:val="1"/>
      <w:marLeft w:val="0"/>
      <w:marRight w:val="0"/>
      <w:marTop w:val="0"/>
      <w:marBottom w:val="0"/>
      <w:divBdr>
        <w:top w:val="none" w:sz="0" w:space="0" w:color="auto"/>
        <w:left w:val="none" w:sz="0" w:space="0" w:color="auto"/>
        <w:bottom w:val="none" w:sz="0" w:space="0" w:color="auto"/>
        <w:right w:val="none" w:sz="0" w:space="0" w:color="auto"/>
      </w:divBdr>
    </w:div>
    <w:div w:id="1572694809">
      <w:bodyDiv w:val="1"/>
      <w:marLeft w:val="0"/>
      <w:marRight w:val="0"/>
      <w:marTop w:val="0"/>
      <w:marBottom w:val="0"/>
      <w:divBdr>
        <w:top w:val="none" w:sz="0" w:space="0" w:color="auto"/>
        <w:left w:val="none" w:sz="0" w:space="0" w:color="auto"/>
        <w:bottom w:val="none" w:sz="0" w:space="0" w:color="auto"/>
        <w:right w:val="none" w:sz="0" w:space="0" w:color="auto"/>
      </w:divBdr>
    </w:div>
    <w:div w:id="1814247851">
      <w:bodyDiv w:val="1"/>
      <w:marLeft w:val="0"/>
      <w:marRight w:val="0"/>
      <w:marTop w:val="0"/>
      <w:marBottom w:val="0"/>
      <w:divBdr>
        <w:top w:val="none" w:sz="0" w:space="0" w:color="auto"/>
        <w:left w:val="none" w:sz="0" w:space="0" w:color="auto"/>
        <w:bottom w:val="none" w:sz="0" w:space="0" w:color="auto"/>
        <w:right w:val="none" w:sz="0" w:space="0" w:color="auto"/>
      </w:divBdr>
    </w:div>
    <w:div w:id="1847329340">
      <w:bodyDiv w:val="1"/>
      <w:marLeft w:val="0"/>
      <w:marRight w:val="0"/>
      <w:marTop w:val="0"/>
      <w:marBottom w:val="0"/>
      <w:divBdr>
        <w:top w:val="none" w:sz="0" w:space="0" w:color="auto"/>
        <w:left w:val="none" w:sz="0" w:space="0" w:color="auto"/>
        <w:bottom w:val="none" w:sz="0" w:space="0" w:color="auto"/>
        <w:right w:val="none" w:sz="0" w:space="0" w:color="auto"/>
      </w:divBdr>
    </w:div>
    <w:div w:id="1919709360">
      <w:bodyDiv w:val="1"/>
      <w:marLeft w:val="0"/>
      <w:marRight w:val="0"/>
      <w:marTop w:val="0"/>
      <w:marBottom w:val="0"/>
      <w:divBdr>
        <w:top w:val="none" w:sz="0" w:space="0" w:color="auto"/>
        <w:left w:val="none" w:sz="0" w:space="0" w:color="auto"/>
        <w:bottom w:val="none" w:sz="0" w:space="0" w:color="auto"/>
        <w:right w:val="none" w:sz="0" w:space="0" w:color="auto"/>
      </w:divBdr>
    </w:div>
    <w:div w:id="2019891532">
      <w:bodyDiv w:val="1"/>
      <w:marLeft w:val="0"/>
      <w:marRight w:val="0"/>
      <w:marTop w:val="0"/>
      <w:marBottom w:val="0"/>
      <w:divBdr>
        <w:top w:val="none" w:sz="0" w:space="0" w:color="auto"/>
        <w:left w:val="none" w:sz="0" w:space="0" w:color="auto"/>
        <w:bottom w:val="none" w:sz="0" w:space="0" w:color="auto"/>
        <w:right w:val="none" w:sz="0" w:space="0" w:color="auto"/>
      </w:divBdr>
    </w:div>
    <w:div w:id="2102601509">
      <w:bodyDiv w:val="1"/>
      <w:marLeft w:val="0"/>
      <w:marRight w:val="0"/>
      <w:marTop w:val="0"/>
      <w:marBottom w:val="0"/>
      <w:divBdr>
        <w:top w:val="none" w:sz="0" w:space="0" w:color="auto"/>
        <w:left w:val="none" w:sz="0" w:space="0" w:color="auto"/>
        <w:bottom w:val="none" w:sz="0" w:space="0" w:color="auto"/>
        <w:right w:val="none" w:sz="0" w:space="0" w:color="auto"/>
      </w:divBdr>
    </w:div>
    <w:div w:id="210819305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1031</Words>
  <Characters>5881</Characters>
  <Application>Microsoft Office Word</Application>
  <DocSecurity>0</DocSecurity>
  <Lines>49</Lines>
  <Paragraphs>13</Paragraphs>
  <ScaleCrop>false</ScaleCrop>
  <Company/>
  <LinksUpToDate>false</LinksUpToDate>
  <CharactersWithSpaces>6899</CharactersWithSpaces>
  <SharedDoc>false</SharedDoc>
  <HLinks>
    <vt:vector size="162" baseType="variant">
      <vt:variant>
        <vt:i4>1179699</vt:i4>
      </vt:variant>
      <vt:variant>
        <vt:i4>80</vt:i4>
      </vt:variant>
      <vt:variant>
        <vt:i4>0</vt:i4>
      </vt:variant>
      <vt:variant>
        <vt:i4>5</vt:i4>
      </vt:variant>
      <vt:variant>
        <vt:lpwstr/>
      </vt:variant>
      <vt:variant>
        <vt:lpwstr>_Toc7643</vt:lpwstr>
      </vt:variant>
      <vt:variant>
        <vt:i4>1966131</vt:i4>
      </vt:variant>
      <vt:variant>
        <vt:i4>77</vt:i4>
      </vt:variant>
      <vt:variant>
        <vt:i4>0</vt:i4>
      </vt:variant>
      <vt:variant>
        <vt:i4>5</vt:i4>
      </vt:variant>
      <vt:variant>
        <vt:lpwstr/>
      </vt:variant>
      <vt:variant>
        <vt:lpwstr>_Toc29106</vt:lpwstr>
      </vt:variant>
      <vt:variant>
        <vt:i4>1769520</vt:i4>
      </vt:variant>
      <vt:variant>
        <vt:i4>74</vt:i4>
      </vt:variant>
      <vt:variant>
        <vt:i4>0</vt:i4>
      </vt:variant>
      <vt:variant>
        <vt:i4>5</vt:i4>
      </vt:variant>
      <vt:variant>
        <vt:lpwstr/>
      </vt:variant>
      <vt:variant>
        <vt:lpwstr>_Toc8884</vt:lpwstr>
      </vt:variant>
      <vt:variant>
        <vt:i4>1376313</vt:i4>
      </vt:variant>
      <vt:variant>
        <vt:i4>71</vt:i4>
      </vt:variant>
      <vt:variant>
        <vt:i4>0</vt:i4>
      </vt:variant>
      <vt:variant>
        <vt:i4>5</vt:i4>
      </vt:variant>
      <vt:variant>
        <vt:lpwstr/>
      </vt:variant>
      <vt:variant>
        <vt:lpwstr>_Toc14869</vt:lpwstr>
      </vt:variant>
      <vt:variant>
        <vt:i4>1507381</vt:i4>
      </vt:variant>
      <vt:variant>
        <vt:i4>68</vt:i4>
      </vt:variant>
      <vt:variant>
        <vt:i4>0</vt:i4>
      </vt:variant>
      <vt:variant>
        <vt:i4>5</vt:i4>
      </vt:variant>
      <vt:variant>
        <vt:lpwstr/>
      </vt:variant>
      <vt:variant>
        <vt:lpwstr>_Toc28786</vt:lpwstr>
      </vt:variant>
      <vt:variant>
        <vt:i4>1441847</vt:i4>
      </vt:variant>
      <vt:variant>
        <vt:i4>65</vt:i4>
      </vt:variant>
      <vt:variant>
        <vt:i4>0</vt:i4>
      </vt:variant>
      <vt:variant>
        <vt:i4>5</vt:i4>
      </vt:variant>
      <vt:variant>
        <vt:lpwstr/>
      </vt:variant>
      <vt:variant>
        <vt:lpwstr>_Toc32434</vt:lpwstr>
      </vt:variant>
      <vt:variant>
        <vt:i4>1048631</vt:i4>
      </vt:variant>
      <vt:variant>
        <vt:i4>62</vt:i4>
      </vt:variant>
      <vt:variant>
        <vt:i4>0</vt:i4>
      </vt:variant>
      <vt:variant>
        <vt:i4>5</vt:i4>
      </vt:variant>
      <vt:variant>
        <vt:lpwstr/>
      </vt:variant>
      <vt:variant>
        <vt:lpwstr>_Toc24532</vt:lpwstr>
      </vt:variant>
      <vt:variant>
        <vt:i4>1376314</vt:i4>
      </vt:variant>
      <vt:variant>
        <vt:i4>59</vt:i4>
      </vt:variant>
      <vt:variant>
        <vt:i4>0</vt:i4>
      </vt:variant>
      <vt:variant>
        <vt:i4>5</vt:i4>
      </vt:variant>
      <vt:variant>
        <vt:lpwstr/>
      </vt:variant>
      <vt:variant>
        <vt:lpwstr>_Toc2183</vt:lpwstr>
      </vt:variant>
      <vt:variant>
        <vt:i4>1900597</vt:i4>
      </vt:variant>
      <vt:variant>
        <vt:i4>56</vt:i4>
      </vt:variant>
      <vt:variant>
        <vt:i4>0</vt:i4>
      </vt:variant>
      <vt:variant>
        <vt:i4>5</vt:i4>
      </vt:variant>
      <vt:variant>
        <vt:lpwstr/>
      </vt:variant>
      <vt:variant>
        <vt:lpwstr>_Toc22784</vt:lpwstr>
      </vt:variant>
      <vt:variant>
        <vt:i4>1376310</vt:i4>
      </vt:variant>
      <vt:variant>
        <vt:i4>53</vt:i4>
      </vt:variant>
      <vt:variant>
        <vt:i4>0</vt:i4>
      </vt:variant>
      <vt:variant>
        <vt:i4>5</vt:i4>
      </vt:variant>
      <vt:variant>
        <vt:lpwstr/>
      </vt:variant>
      <vt:variant>
        <vt:lpwstr>_Toc3250</vt:lpwstr>
      </vt:variant>
      <vt:variant>
        <vt:i4>1966131</vt:i4>
      </vt:variant>
      <vt:variant>
        <vt:i4>50</vt:i4>
      </vt:variant>
      <vt:variant>
        <vt:i4>0</vt:i4>
      </vt:variant>
      <vt:variant>
        <vt:i4>5</vt:i4>
      </vt:variant>
      <vt:variant>
        <vt:lpwstr/>
      </vt:variant>
      <vt:variant>
        <vt:lpwstr>_Toc11283</vt:lpwstr>
      </vt:variant>
      <vt:variant>
        <vt:i4>1376305</vt:i4>
      </vt:variant>
      <vt:variant>
        <vt:i4>47</vt:i4>
      </vt:variant>
      <vt:variant>
        <vt:i4>0</vt:i4>
      </vt:variant>
      <vt:variant>
        <vt:i4>5</vt:i4>
      </vt:variant>
      <vt:variant>
        <vt:lpwstr/>
      </vt:variant>
      <vt:variant>
        <vt:lpwstr>_Toc8391</vt:lpwstr>
      </vt:variant>
      <vt:variant>
        <vt:i4>2424834</vt:i4>
      </vt:variant>
      <vt:variant>
        <vt:i4>44</vt:i4>
      </vt:variant>
      <vt:variant>
        <vt:i4>0</vt:i4>
      </vt:variant>
      <vt:variant>
        <vt:i4>5</vt:i4>
      </vt:variant>
      <vt:variant>
        <vt:lpwstr/>
      </vt:variant>
      <vt:variant>
        <vt:lpwstr>_Toc227</vt:lpwstr>
      </vt:variant>
      <vt:variant>
        <vt:i4>1179700</vt:i4>
      </vt:variant>
      <vt:variant>
        <vt:i4>41</vt:i4>
      </vt:variant>
      <vt:variant>
        <vt:i4>0</vt:i4>
      </vt:variant>
      <vt:variant>
        <vt:i4>5</vt:i4>
      </vt:variant>
      <vt:variant>
        <vt:lpwstr/>
      </vt:variant>
      <vt:variant>
        <vt:lpwstr>_Toc14519</vt:lpwstr>
      </vt:variant>
      <vt:variant>
        <vt:i4>1048626</vt:i4>
      </vt:variant>
      <vt:variant>
        <vt:i4>38</vt:i4>
      </vt:variant>
      <vt:variant>
        <vt:i4>0</vt:i4>
      </vt:variant>
      <vt:variant>
        <vt:i4>5</vt:i4>
      </vt:variant>
      <vt:variant>
        <vt:lpwstr/>
      </vt:variant>
      <vt:variant>
        <vt:lpwstr>_Toc1235</vt:lpwstr>
      </vt:variant>
      <vt:variant>
        <vt:i4>2031668</vt:i4>
      </vt:variant>
      <vt:variant>
        <vt:i4>35</vt:i4>
      </vt:variant>
      <vt:variant>
        <vt:i4>0</vt:i4>
      </vt:variant>
      <vt:variant>
        <vt:i4>5</vt:i4>
      </vt:variant>
      <vt:variant>
        <vt:lpwstr/>
      </vt:variant>
      <vt:variant>
        <vt:lpwstr>_Toc5810</vt:lpwstr>
      </vt:variant>
      <vt:variant>
        <vt:i4>1507383</vt:i4>
      </vt:variant>
      <vt:variant>
        <vt:i4>32</vt:i4>
      </vt:variant>
      <vt:variant>
        <vt:i4>0</vt:i4>
      </vt:variant>
      <vt:variant>
        <vt:i4>5</vt:i4>
      </vt:variant>
      <vt:variant>
        <vt:lpwstr/>
      </vt:variant>
      <vt:variant>
        <vt:lpwstr>_Toc21518</vt:lpwstr>
      </vt:variant>
      <vt:variant>
        <vt:i4>1048635</vt:i4>
      </vt:variant>
      <vt:variant>
        <vt:i4>29</vt:i4>
      </vt:variant>
      <vt:variant>
        <vt:i4>0</vt:i4>
      </vt:variant>
      <vt:variant>
        <vt:i4>5</vt:i4>
      </vt:variant>
      <vt:variant>
        <vt:lpwstr/>
      </vt:variant>
      <vt:variant>
        <vt:lpwstr>_Toc30870</vt:lpwstr>
      </vt:variant>
      <vt:variant>
        <vt:i4>1114161</vt:i4>
      </vt:variant>
      <vt:variant>
        <vt:i4>26</vt:i4>
      </vt:variant>
      <vt:variant>
        <vt:i4>0</vt:i4>
      </vt:variant>
      <vt:variant>
        <vt:i4>5</vt:i4>
      </vt:variant>
      <vt:variant>
        <vt:lpwstr/>
      </vt:variant>
      <vt:variant>
        <vt:lpwstr>_Toc20360</vt:lpwstr>
      </vt:variant>
      <vt:variant>
        <vt:i4>1507383</vt:i4>
      </vt:variant>
      <vt:variant>
        <vt:i4>23</vt:i4>
      </vt:variant>
      <vt:variant>
        <vt:i4>0</vt:i4>
      </vt:variant>
      <vt:variant>
        <vt:i4>5</vt:i4>
      </vt:variant>
      <vt:variant>
        <vt:lpwstr/>
      </vt:variant>
      <vt:variant>
        <vt:lpwstr>_Toc26564</vt:lpwstr>
      </vt:variant>
      <vt:variant>
        <vt:i4>1310771</vt:i4>
      </vt:variant>
      <vt:variant>
        <vt:i4>20</vt:i4>
      </vt:variant>
      <vt:variant>
        <vt:i4>0</vt:i4>
      </vt:variant>
      <vt:variant>
        <vt:i4>5</vt:i4>
      </vt:variant>
      <vt:variant>
        <vt:lpwstr/>
      </vt:variant>
      <vt:variant>
        <vt:lpwstr>_Toc13201</vt:lpwstr>
      </vt:variant>
      <vt:variant>
        <vt:i4>1114160</vt:i4>
      </vt:variant>
      <vt:variant>
        <vt:i4>17</vt:i4>
      </vt:variant>
      <vt:variant>
        <vt:i4>0</vt:i4>
      </vt:variant>
      <vt:variant>
        <vt:i4>5</vt:i4>
      </vt:variant>
      <vt:variant>
        <vt:lpwstr/>
      </vt:variant>
      <vt:variant>
        <vt:lpwstr>_Toc12142</vt:lpwstr>
      </vt:variant>
      <vt:variant>
        <vt:i4>1245233</vt:i4>
      </vt:variant>
      <vt:variant>
        <vt:i4>14</vt:i4>
      </vt:variant>
      <vt:variant>
        <vt:i4>0</vt:i4>
      </vt:variant>
      <vt:variant>
        <vt:i4>5</vt:i4>
      </vt:variant>
      <vt:variant>
        <vt:lpwstr/>
      </vt:variant>
      <vt:variant>
        <vt:lpwstr>_Toc25314</vt:lpwstr>
      </vt:variant>
      <vt:variant>
        <vt:i4>1638449</vt:i4>
      </vt:variant>
      <vt:variant>
        <vt:i4>11</vt:i4>
      </vt:variant>
      <vt:variant>
        <vt:i4>0</vt:i4>
      </vt:variant>
      <vt:variant>
        <vt:i4>5</vt:i4>
      </vt:variant>
      <vt:variant>
        <vt:lpwstr/>
      </vt:variant>
      <vt:variant>
        <vt:lpwstr>_Toc29374</vt:lpwstr>
      </vt:variant>
      <vt:variant>
        <vt:i4>1507383</vt:i4>
      </vt:variant>
      <vt:variant>
        <vt:i4>8</vt:i4>
      </vt:variant>
      <vt:variant>
        <vt:i4>0</vt:i4>
      </vt:variant>
      <vt:variant>
        <vt:i4>5</vt:i4>
      </vt:variant>
      <vt:variant>
        <vt:lpwstr/>
      </vt:variant>
      <vt:variant>
        <vt:lpwstr>_Toc2151</vt:lpwstr>
      </vt:variant>
      <vt:variant>
        <vt:i4>1114166</vt:i4>
      </vt:variant>
      <vt:variant>
        <vt:i4>5</vt:i4>
      </vt:variant>
      <vt:variant>
        <vt:i4>0</vt:i4>
      </vt:variant>
      <vt:variant>
        <vt:i4>5</vt:i4>
      </vt:variant>
      <vt:variant>
        <vt:lpwstr/>
      </vt:variant>
      <vt:variant>
        <vt:lpwstr>_Toc30567</vt:lpwstr>
      </vt:variant>
      <vt:variant>
        <vt:i4>1310768</vt:i4>
      </vt:variant>
      <vt:variant>
        <vt:i4>2</vt:i4>
      </vt:variant>
      <vt:variant>
        <vt:i4>0</vt:i4>
      </vt:variant>
      <vt:variant>
        <vt:i4>5</vt:i4>
      </vt:variant>
      <vt:variant>
        <vt:lpwstr/>
      </vt:variant>
      <vt:variant>
        <vt:lpwstr>_Toc32314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2020-09-08T14:04:00Z</dcterms:created>
  <dc:creator>GXR</dc:creator>
  <cp:lastModifiedBy>Wevil Dwyane</cp:lastModifiedBy>
  <dcterms:modified xsi:type="dcterms:W3CDTF">2020-09-23T11:32:00Z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