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0DAFC1" w14:textId="77777777" w:rsidR="008853A8" w:rsidRDefault="008853A8">
      <w:pPr>
        <w:rPr>
          <w:rFonts w:ascii="黑体" w:eastAsia="黑体" w:hAnsi="黑体"/>
          <w:sz w:val="32"/>
          <w:szCs w:val="32"/>
        </w:rPr>
      </w:pPr>
      <w:r>
        <w:rPr>
          <w:rFonts w:ascii="黑体" w:eastAsia="黑体" w:hAnsi="黑体" w:hint="eastAsia"/>
          <w:sz w:val="32"/>
          <w:szCs w:val="32"/>
        </w:rPr>
        <w:t>附件：</w:t>
      </w:r>
    </w:p>
    <w:p w14:paraId="611C3882" w14:textId="77777777" w:rsidR="008853A8" w:rsidRDefault="008853A8">
      <w:pPr>
        <w:jc w:val="center"/>
        <w:rPr>
          <w:rFonts w:ascii="方正小标宋_GBK" w:eastAsia="方正小标宋_GBK" w:hAnsi="宋体"/>
          <w:sz w:val="44"/>
          <w:szCs w:val="44"/>
        </w:rPr>
      </w:pPr>
    </w:p>
    <w:p w14:paraId="12B0B250" w14:textId="77777777" w:rsidR="008853A8" w:rsidRDefault="008853A8">
      <w:pPr>
        <w:jc w:val="center"/>
        <w:rPr>
          <w:rFonts w:ascii="方正小标宋_GBK" w:eastAsia="方正小标宋_GBK" w:hAnsi="宋体"/>
          <w:sz w:val="44"/>
          <w:szCs w:val="44"/>
        </w:rPr>
      </w:pPr>
    </w:p>
    <w:p w14:paraId="1FB56DCC" w14:textId="77777777" w:rsidR="008853A8" w:rsidRDefault="008853A8">
      <w:pPr>
        <w:jc w:val="center"/>
        <w:rPr>
          <w:rFonts w:ascii="方正小标宋_GBK" w:eastAsia="方正小标宋_GBK" w:hAnsi="宋体"/>
          <w:sz w:val="44"/>
          <w:szCs w:val="44"/>
        </w:rPr>
      </w:pPr>
    </w:p>
    <w:p w14:paraId="0E41F092" w14:textId="77777777" w:rsidR="008853A8" w:rsidRDefault="008853A8">
      <w:pPr>
        <w:jc w:val="center"/>
        <w:rPr>
          <w:rFonts w:ascii="方正小标宋_GBK" w:eastAsia="方正小标宋_GBK" w:hAnsi="宋体"/>
          <w:sz w:val="44"/>
          <w:szCs w:val="44"/>
        </w:rPr>
      </w:pPr>
    </w:p>
    <w:p w14:paraId="0ACE5469" w14:textId="35972067" w:rsidR="008853A8" w:rsidRDefault="00377EC6">
      <w:pPr>
        <w:jc w:val="center"/>
        <w:rPr>
          <w:rFonts w:ascii="方正小标宋_GBK" w:eastAsia="方正小标宋_GBK" w:hAnsi="宋体"/>
          <w:sz w:val="44"/>
          <w:szCs w:val="44"/>
        </w:rPr>
      </w:pPr>
      <w:r>
        <w:rPr>
          <w:rFonts w:ascii="方正小标宋_GBK" w:hAnsi="方正小标宋_GBK" w:cs="方正小标宋_GBK" w:eastAsia="方正小标宋_GBK"/>
          <w:sz w:val="44"/>
        </w:rPr>
        <w:t>新疆喀什地区麦盖提县库尔玛乡人民政府2019年度部门决算公开说明</w:t>
      </w:r>
    </w:p>
    <w:p w14:paraId="2888F532" w14:textId="77777777" w:rsidR="008853A8" w:rsidRDefault="008853A8">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t>目 录</w:t>
      </w:r>
    </w:p>
    <w:p w14:paraId="293349B8" w14:textId="77777777" w:rsidR="008853A8" w:rsidRDefault="008853A8">
      <w:pPr>
        <w:pStyle w:val="TOC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部门单位概况</w:t>
        </w:r>
      </w:hyperlink>
    </w:p>
    <w:p w14:paraId="2F9FE76B"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567" w:history="1">
        <w:r w:rsidR="008853A8">
          <w:rPr>
            <w:rFonts w:ascii="仿宋_GB2312" w:eastAsia="仿宋_GB2312" w:hAnsi="仿宋_GB2312" w:cs="仿宋_GB2312" w:hint="eastAsia"/>
            <w:bCs/>
            <w:kern w:val="0"/>
            <w:sz w:val="32"/>
            <w:szCs w:val="32"/>
          </w:rPr>
          <w:t>一、主要职能</w:t>
        </w:r>
      </w:hyperlink>
    </w:p>
    <w:p w14:paraId="247DC9F7"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 w:history="1">
        <w:r w:rsidR="008853A8">
          <w:rPr>
            <w:rFonts w:ascii="仿宋_GB2312" w:eastAsia="仿宋_GB2312" w:hAnsi="仿宋_GB2312" w:cs="仿宋_GB2312" w:hint="eastAsia"/>
            <w:bCs/>
            <w:kern w:val="0"/>
            <w:sz w:val="32"/>
            <w:szCs w:val="32"/>
          </w:rPr>
          <w:t>二、机构设置及人员情况</w:t>
        </w:r>
      </w:hyperlink>
    </w:p>
    <w:p w14:paraId="08B9D742" w14:textId="77777777" w:rsidR="008853A8" w:rsidRDefault="0088099A">
      <w:pPr>
        <w:pStyle w:val="TOC1"/>
        <w:tabs>
          <w:tab w:val="right" w:pos="8306"/>
        </w:tabs>
        <w:rPr>
          <w:rFonts w:ascii="仿宋_GB2312" w:eastAsia="仿宋_GB2312" w:hAnsi="仿宋_GB2312" w:cs="仿宋_GB2312"/>
          <w:b/>
          <w:bCs/>
          <w:sz w:val="32"/>
          <w:szCs w:val="32"/>
        </w:rPr>
      </w:pPr>
      <w:hyperlink w:anchor="_Toc29374" w:history="1">
        <w:r w:rsidR="008853A8">
          <w:rPr>
            <w:rFonts w:ascii="仿宋_GB2312" w:eastAsia="仿宋_GB2312" w:hAnsi="仿宋_GB2312" w:cs="仿宋_GB2312" w:hint="eastAsia"/>
            <w:b/>
            <w:bCs/>
            <w:sz w:val="32"/>
            <w:szCs w:val="32"/>
          </w:rPr>
          <w:t>第二部分 部门决算情况说明</w:t>
        </w:r>
      </w:hyperlink>
    </w:p>
    <w:p w14:paraId="5C83C03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5314" w:history="1">
        <w:r w:rsidR="008853A8">
          <w:rPr>
            <w:rFonts w:ascii="仿宋_GB2312" w:eastAsia="仿宋_GB2312" w:hAnsi="仿宋_GB2312" w:cs="仿宋_GB2312" w:hint="eastAsia"/>
            <w:bCs/>
            <w:kern w:val="0"/>
            <w:sz w:val="32"/>
            <w:szCs w:val="32"/>
          </w:rPr>
          <w:t>一、收入支出决算总体情况说明</w:t>
        </w:r>
      </w:hyperlink>
    </w:p>
    <w:p w14:paraId="4572C60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142" w:history="1">
        <w:r w:rsidR="008853A8">
          <w:rPr>
            <w:rFonts w:ascii="仿宋_GB2312" w:eastAsia="仿宋_GB2312" w:hAnsi="仿宋_GB2312" w:cs="仿宋_GB2312" w:hint="eastAsia"/>
            <w:bCs/>
            <w:kern w:val="0"/>
            <w:sz w:val="32"/>
            <w:szCs w:val="32"/>
          </w:rPr>
          <w:t>二、收入决算情况说明</w:t>
        </w:r>
      </w:hyperlink>
    </w:p>
    <w:p w14:paraId="5F2369D5"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3201" w:history="1">
        <w:r w:rsidR="008853A8">
          <w:rPr>
            <w:rFonts w:ascii="仿宋_GB2312" w:eastAsia="仿宋_GB2312" w:hAnsi="仿宋_GB2312" w:cs="仿宋_GB2312" w:hint="eastAsia"/>
            <w:bCs/>
            <w:kern w:val="0"/>
            <w:sz w:val="32"/>
            <w:szCs w:val="32"/>
          </w:rPr>
          <w:t>三、支出决算情况说明</w:t>
        </w:r>
      </w:hyperlink>
    </w:p>
    <w:p w14:paraId="6C9FFD2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6564" w:history="1">
        <w:r w:rsidR="008853A8">
          <w:rPr>
            <w:rFonts w:ascii="仿宋_GB2312" w:eastAsia="仿宋_GB2312" w:hAnsi="仿宋_GB2312" w:cs="仿宋_GB2312" w:hint="eastAsia"/>
            <w:bCs/>
            <w:kern w:val="0"/>
            <w:sz w:val="32"/>
            <w:szCs w:val="32"/>
          </w:rPr>
          <w:t>四、财政拨款收入支出决算总体情况说明</w:t>
        </w:r>
      </w:hyperlink>
    </w:p>
    <w:p w14:paraId="50C0774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0360" w:history="1">
        <w:r w:rsidR="008853A8">
          <w:rPr>
            <w:rFonts w:ascii="仿宋_GB2312" w:eastAsia="仿宋_GB2312" w:hAnsi="仿宋_GB2312" w:cs="仿宋_GB2312" w:hint="eastAsia"/>
            <w:bCs/>
            <w:kern w:val="0"/>
            <w:sz w:val="32"/>
            <w:szCs w:val="32"/>
          </w:rPr>
          <w:t>五、一般公共预算财政拨款支出决算情况说明</w:t>
        </w:r>
      </w:hyperlink>
    </w:p>
    <w:p w14:paraId="02AD714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870" w:history="1">
        <w:r w:rsidR="008853A8">
          <w:rPr>
            <w:rFonts w:ascii="仿宋_GB2312" w:eastAsia="仿宋_GB2312" w:hAnsi="仿宋_GB2312" w:cs="仿宋_GB2312" w:hint="eastAsia"/>
            <w:bCs/>
            <w:kern w:val="0"/>
            <w:sz w:val="32"/>
            <w:szCs w:val="32"/>
          </w:rPr>
          <w:t>六、一般公共预算财政拨款基本支出决算情况说明</w:t>
        </w:r>
      </w:hyperlink>
    </w:p>
    <w:p w14:paraId="52DEB1D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8" w:history="1">
        <w:r w:rsidR="008853A8">
          <w:rPr>
            <w:rFonts w:ascii="仿宋_GB2312" w:eastAsia="仿宋_GB2312" w:hAnsi="仿宋_GB2312" w:cs="仿宋_GB2312" w:hint="eastAsia"/>
            <w:bCs/>
            <w:kern w:val="0"/>
            <w:sz w:val="32"/>
            <w:szCs w:val="32"/>
          </w:rPr>
          <w:t>七、一般公共预算财政拨款“三公”经费支出决算情况说明</w:t>
        </w:r>
      </w:hyperlink>
    </w:p>
    <w:p w14:paraId="445A50AA"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5810" w:history="1">
        <w:r w:rsidR="008853A8">
          <w:rPr>
            <w:rFonts w:ascii="仿宋_GB2312" w:eastAsia="仿宋_GB2312" w:hAnsi="仿宋_GB2312" w:cs="仿宋_GB2312" w:hint="eastAsia"/>
            <w:bCs/>
            <w:kern w:val="0"/>
            <w:sz w:val="32"/>
            <w:szCs w:val="32"/>
          </w:rPr>
          <w:t>八、政府性基金预算收入支出决算情况说明</w:t>
        </w:r>
      </w:hyperlink>
    </w:p>
    <w:p w14:paraId="57D5716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35" w:history="1">
        <w:r w:rsidR="008853A8">
          <w:rPr>
            <w:rFonts w:ascii="仿宋_GB2312" w:eastAsia="仿宋_GB2312" w:hAnsi="仿宋_GB2312" w:cs="仿宋_GB2312" w:hint="eastAsia"/>
            <w:bCs/>
            <w:kern w:val="0"/>
            <w:sz w:val="32"/>
            <w:szCs w:val="32"/>
          </w:rPr>
          <w:t>九、其他重要事项的情况说明</w:t>
        </w:r>
      </w:hyperlink>
    </w:p>
    <w:p w14:paraId="326B9E76"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14519" w:history="1">
        <w:r w:rsidR="008853A8">
          <w:rPr>
            <w:rFonts w:ascii="仿宋_GB2312" w:eastAsia="仿宋_GB2312" w:hAnsi="仿宋_GB2312" w:cs="仿宋_GB2312" w:hint="eastAsia"/>
            <w:sz w:val="32"/>
            <w:szCs w:val="32"/>
          </w:rPr>
          <w:t>（一）机关运行经费支出情况</w:t>
        </w:r>
      </w:hyperlink>
    </w:p>
    <w:p w14:paraId="65AAD0E2"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227" w:history="1">
        <w:r w:rsidR="008853A8">
          <w:rPr>
            <w:rFonts w:ascii="仿宋_GB2312" w:eastAsia="仿宋_GB2312" w:hAnsi="仿宋_GB2312" w:cs="仿宋_GB2312" w:hint="eastAsia"/>
            <w:sz w:val="32"/>
            <w:szCs w:val="32"/>
          </w:rPr>
          <w:t>（二）政府采购情况</w:t>
        </w:r>
      </w:hyperlink>
    </w:p>
    <w:p w14:paraId="651C5AE5"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8391" w:history="1">
        <w:r w:rsidR="008853A8">
          <w:rPr>
            <w:rFonts w:ascii="仿宋_GB2312" w:eastAsia="仿宋_GB2312" w:hAnsi="仿宋_GB2312" w:cs="仿宋_GB2312" w:hint="eastAsia"/>
            <w:sz w:val="32"/>
            <w:szCs w:val="32"/>
          </w:rPr>
          <w:t>（三）国有资产占用情况说明</w:t>
        </w:r>
      </w:hyperlink>
    </w:p>
    <w:p w14:paraId="0BD7F98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1283" w:history="1">
        <w:r w:rsidR="008853A8">
          <w:rPr>
            <w:rFonts w:ascii="仿宋_GB2312" w:eastAsia="仿宋_GB2312" w:hAnsi="仿宋_GB2312" w:cs="仿宋_GB2312" w:hint="eastAsia"/>
            <w:bCs/>
            <w:kern w:val="0"/>
            <w:sz w:val="32"/>
            <w:szCs w:val="32"/>
          </w:rPr>
          <w:t>十、预算绩效的情况说明</w:t>
        </w:r>
      </w:hyperlink>
    </w:p>
    <w:p w14:paraId="778B9C6E" w14:textId="77777777" w:rsidR="008853A8" w:rsidRDefault="0088099A">
      <w:pPr>
        <w:pStyle w:val="TOC1"/>
        <w:tabs>
          <w:tab w:val="right" w:pos="8306"/>
        </w:tabs>
        <w:rPr>
          <w:rFonts w:ascii="仿宋_GB2312" w:eastAsia="仿宋_GB2312" w:hAnsi="仿宋_GB2312" w:cs="仿宋_GB2312"/>
          <w:b/>
          <w:bCs/>
          <w:sz w:val="32"/>
          <w:szCs w:val="32"/>
        </w:rPr>
      </w:pPr>
      <w:hyperlink w:anchor="_Toc3250" w:history="1">
        <w:r w:rsidR="008853A8">
          <w:rPr>
            <w:rFonts w:ascii="仿宋_GB2312" w:eastAsia="仿宋_GB2312" w:hAnsi="仿宋_GB2312" w:cs="仿宋_GB2312" w:hint="eastAsia"/>
            <w:b/>
            <w:bCs/>
            <w:sz w:val="32"/>
            <w:szCs w:val="32"/>
          </w:rPr>
          <w:t>第三部分 专业名词解释</w:t>
        </w:r>
      </w:hyperlink>
    </w:p>
    <w:p w14:paraId="41FD2E9B" w14:textId="77777777" w:rsidR="008853A8" w:rsidRDefault="0088099A">
      <w:pPr>
        <w:pStyle w:val="TOC1"/>
        <w:tabs>
          <w:tab w:val="right" w:pos="8306"/>
        </w:tabs>
        <w:rPr>
          <w:rFonts w:ascii="仿宋_GB2312" w:eastAsia="仿宋_GB2312" w:hAnsi="仿宋_GB2312" w:cs="仿宋_GB2312"/>
          <w:b/>
          <w:bCs/>
          <w:sz w:val="32"/>
          <w:szCs w:val="32"/>
        </w:rPr>
      </w:pPr>
      <w:hyperlink w:anchor="_Toc22784" w:history="1">
        <w:r w:rsidR="008853A8">
          <w:rPr>
            <w:rFonts w:ascii="仿宋_GB2312" w:eastAsia="仿宋_GB2312" w:hAnsi="仿宋_GB2312" w:cs="仿宋_GB2312" w:hint="eastAsia"/>
            <w:b/>
            <w:bCs/>
            <w:sz w:val="32"/>
            <w:szCs w:val="32"/>
          </w:rPr>
          <w:t>第四部分 部门决算报表（见附表）</w:t>
        </w:r>
      </w:hyperlink>
    </w:p>
    <w:p w14:paraId="28F1D9E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83" w:history="1">
        <w:r w:rsidR="008853A8">
          <w:rPr>
            <w:rFonts w:ascii="仿宋_GB2312" w:eastAsia="仿宋_GB2312" w:hAnsi="仿宋_GB2312" w:cs="仿宋_GB2312" w:hint="eastAsia"/>
            <w:bCs/>
            <w:kern w:val="0"/>
            <w:sz w:val="32"/>
            <w:szCs w:val="32"/>
          </w:rPr>
          <w:t>一、《收入支出决算总表》</w:t>
        </w:r>
      </w:hyperlink>
    </w:p>
    <w:p w14:paraId="61408A5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4532" w:history="1">
        <w:r w:rsidR="008853A8">
          <w:rPr>
            <w:rFonts w:ascii="仿宋_GB2312" w:eastAsia="仿宋_GB2312" w:hAnsi="仿宋_GB2312" w:cs="仿宋_GB2312" w:hint="eastAsia"/>
            <w:bCs/>
            <w:kern w:val="0"/>
            <w:sz w:val="32"/>
            <w:szCs w:val="32"/>
          </w:rPr>
          <w:t>二、《收入决算表》</w:t>
        </w:r>
      </w:hyperlink>
    </w:p>
    <w:p w14:paraId="04072FC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2434" w:history="1">
        <w:r w:rsidR="008853A8">
          <w:rPr>
            <w:rFonts w:ascii="仿宋_GB2312" w:eastAsia="仿宋_GB2312" w:hAnsi="仿宋_GB2312" w:cs="仿宋_GB2312" w:hint="eastAsia"/>
            <w:bCs/>
            <w:kern w:val="0"/>
            <w:sz w:val="32"/>
            <w:szCs w:val="32"/>
          </w:rPr>
          <w:t>三、《支出决算表》</w:t>
        </w:r>
      </w:hyperlink>
    </w:p>
    <w:p w14:paraId="22BFA8E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8786" w:history="1">
        <w:r w:rsidR="008853A8">
          <w:rPr>
            <w:rFonts w:ascii="仿宋_GB2312" w:eastAsia="仿宋_GB2312" w:hAnsi="仿宋_GB2312" w:cs="仿宋_GB2312" w:hint="eastAsia"/>
            <w:bCs/>
            <w:kern w:val="0"/>
            <w:sz w:val="32"/>
            <w:szCs w:val="32"/>
          </w:rPr>
          <w:t>四、《财政拨款收入支出决算总表》</w:t>
        </w:r>
      </w:hyperlink>
    </w:p>
    <w:p w14:paraId="2DC04D36"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4869" w:history="1">
        <w:r w:rsidR="008853A8">
          <w:rPr>
            <w:rFonts w:ascii="仿宋_GB2312" w:eastAsia="仿宋_GB2312" w:hAnsi="仿宋_GB2312" w:cs="仿宋_GB2312" w:hint="eastAsia"/>
            <w:bCs/>
            <w:kern w:val="0"/>
            <w:sz w:val="32"/>
            <w:szCs w:val="32"/>
          </w:rPr>
          <w:t>五、《一般公共预算财政拨款支出决算表》</w:t>
        </w:r>
      </w:hyperlink>
    </w:p>
    <w:p w14:paraId="455EE489"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8884" w:history="1">
        <w:r w:rsidR="008853A8">
          <w:rPr>
            <w:rFonts w:ascii="仿宋_GB2312" w:eastAsia="仿宋_GB2312" w:hAnsi="仿宋_GB2312" w:cs="仿宋_GB2312" w:hint="eastAsia"/>
            <w:bCs/>
            <w:kern w:val="0"/>
            <w:sz w:val="32"/>
            <w:szCs w:val="32"/>
          </w:rPr>
          <w:t>六、《一般公共预算财政拨款基本支出决算表》</w:t>
        </w:r>
      </w:hyperlink>
    </w:p>
    <w:p w14:paraId="6472466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9106" w:history="1">
        <w:r w:rsidR="008853A8">
          <w:rPr>
            <w:rFonts w:ascii="仿宋_GB2312" w:eastAsia="仿宋_GB2312" w:hAnsi="仿宋_GB2312" w:cs="仿宋_GB2312" w:hint="eastAsia"/>
            <w:bCs/>
            <w:kern w:val="0"/>
            <w:sz w:val="32"/>
            <w:szCs w:val="32"/>
          </w:rPr>
          <w:t>七、《一般公共预算财政拨款“三公”经费支出决算表》</w:t>
        </w:r>
      </w:hyperlink>
    </w:p>
    <w:p w14:paraId="0F03566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7643" w:history="1">
        <w:r w:rsidR="008853A8">
          <w:rPr>
            <w:rFonts w:ascii="仿宋_GB2312" w:eastAsia="仿宋_GB2312" w:hAnsi="仿宋_GB2312" w:cs="仿宋_GB2312" w:hint="eastAsia"/>
            <w:bCs/>
            <w:kern w:val="0"/>
            <w:sz w:val="32"/>
            <w:szCs w:val="32"/>
          </w:rPr>
          <w:t>八、《政府性基金预算财政拨款收入支出决算表》</w:t>
        </w:r>
      </w:hyperlink>
    </w:p>
    <w:p w14:paraId="0E1577DF" w14:textId="77777777" w:rsidR="008853A8" w:rsidRDefault="008853A8">
      <w:r>
        <w:rPr>
          <w:rFonts w:ascii="仿宋_GB2312" w:eastAsia="仿宋_GB2312" w:hAnsi="仿宋_GB2312" w:cs="仿宋_GB2312" w:hint="eastAsia"/>
          <w:sz w:val="32"/>
          <w:szCs w:val="32"/>
        </w:rPr>
        <w:fldChar w:fldCharType="end"/>
      </w:r>
    </w:p>
    <w:p w14:paraId="68A45511" w14:textId="77777777" w:rsidR="008853A8" w:rsidRDefault="008853A8">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0" w:name="_Toc24028"/>
      <w:bookmarkStart w:id="1" w:name="_Toc32314"/>
      <w:r>
        <w:rPr>
          <w:rFonts w:ascii="黑体" w:eastAsia="黑体" w:hAnsi="黑体" w:hint="eastAsia"/>
          <w:sz w:val="32"/>
          <w:szCs w:val="32"/>
        </w:rPr>
        <w:t>第一部分 部门单位概况</w:t>
      </w:r>
      <w:bookmarkEnd w:id="0"/>
      <w:bookmarkEnd w:id="1"/>
    </w:p>
    <w:p w14:paraId="036049B7" w14:textId="77777777" w:rsidR="008853A8" w:rsidRDefault="008853A8">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pPr>
        <w:ind w:firstLine="480"/>
        <w:jc w:val="both"/>
      </w:pPr>
      <w:r>
        <w:rPr>
          <w:rFonts w:ascii="仿宋_GB2312" w:hAnsi="仿宋_GB2312" w:cs="仿宋_GB2312" w:eastAsia="仿宋_GB2312"/>
          <w:b w:val="false"/>
          <w:sz w:val="32"/>
        </w:rPr>
        <w:t>1、执行本级及上级国家行政机关的决定和命令。</w:t>
      </w:r>
    </w:p>
    <w:p>
      <w:pPr>
        <w:ind w:firstLine="480"/>
        <w:jc w:val="both"/>
      </w:pPr>
      <w:r>
        <w:rPr>
          <w:rFonts w:ascii="仿宋_GB2312" w:hAnsi="仿宋_GB2312" w:cs="仿宋_GB2312" w:eastAsia="仿宋_GB2312"/>
          <w:b w:val="false"/>
          <w:sz w:val="32"/>
        </w:rPr>
        <w:t>2、执行全乡的社会和经济发展计划，预算，管理，教育、科技、文化、卫生、体育事业和财政、民政、治安、人民调解、安全生产监督管理、计划生育等行政工作。</w:t>
      </w:r>
    </w:p>
    <w:p>
      <w:pPr>
        <w:ind w:firstLine="480"/>
        <w:jc w:val="both"/>
      </w:pPr>
      <w:r>
        <w:rPr>
          <w:rFonts w:ascii="仿宋_GB2312" w:hAnsi="仿宋_GB2312" w:cs="仿宋_GB2312" w:eastAsia="仿宋_GB2312"/>
          <w:b w:val="false"/>
          <w:sz w:val="32"/>
        </w:rPr>
        <w:t>3、保护社会主义的全民财产和劳动群体集体所有财产，保护公民死人所有的合法财产，维护社会秩序，保障公民的人生权利。4、贯彻执行党和国家的惠民政策，保障少数民族的权利和尊重少数民族的风俗习惯，尊重民族宗教信仰，维护一切经济单位和个人的正当经济权益，余地非法经济活动，维护社会安定。</w:t>
      </w:r>
    </w:p>
    <w:p w14:paraId="22BD2715" w14:textId="3A98898C" w:rsidR="008853A8" w:rsidRDefault="008853A8">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8E18313" w14:textId="72E3148E" w:rsidR="001F777A" w:rsidRPr="001F777A" w:rsidRDefault="001F777A" w:rsidP="001F777A">
      <w:pPr>
        <w:ind w:firstLineChars="200" w:firstLine="640"/>
      </w:pPr>
      <w:r>
        <w:rPr>
          <w:rFonts w:ascii="仿宋_GB2312" w:hAnsi="仿宋_GB2312" w:cs="仿宋_GB2312" w:eastAsia="仿宋_GB2312"/>
          <w:sz w:val="32"/>
        </w:rPr>
        <w:t>新疆喀什地区麦盖提县库尔玛乡人民政府2019年度，实有人数110人，其中：在职人员98人，离休人员0人，退休人员12人。</w:t>
      </w:r>
    </w:p>
    <w:p w14:paraId="65B8FE61" w14:textId="77777777" w:rsidR="00862395" w:rsidRDefault="00862395" w:rsidP="00862395">
      <w:pPr>
        <w:ind w:firstLineChars="200" w:firstLine="640"/>
        <w:rPr>
          <w:rFonts w:ascii="仿宋_GB2312" w:eastAsia="仿宋_GB2312"/>
          <w:sz w:val="32"/>
          <w:szCs w:val="32"/>
        </w:rPr>
      </w:pPr>
      <w:r>
        <w:rPr>
          <w:rFonts w:ascii="仿宋_GB2312" w:hAnsi="仿宋_GB2312" w:cs="仿宋_GB2312" w:eastAsia="仿宋_GB2312"/>
          <w:sz w:val="32"/>
        </w:rPr>
        <w:t>从部门决算单位构成看，新疆喀什地区麦盖提县库尔玛乡人民政府部门决算包括：新疆喀什地区麦盖提县库尔玛乡人民政府决算。</w:t>
      </w:r>
    </w:p>
    <w:p w14:paraId="2C581B27" w14:textId="77777777" w:rsidR="008853A8" w:rsidRDefault="008853A8">
      <w:pPr>
        <w:ind w:firstLineChars="200" w:firstLine="640"/>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t>第二部分 部门决算情况说明</w:t>
      </w:r>
      <w:bookmarkEnd w:id="6"/>
      <w:bookmarkEnd w:id="7"/>
    </w:p>
    <w:p w14:paraId="4B167492" w14:textId="77777777" w:rsidR="008853A8" w:rsidRDefault="008853A8">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3782D0DE" w14:textId="3E55FEDD" w:rsidR="008853A8" w:rsidRDefault="007E3BFD">
      <w:pPr>
        <w:ind w:firstLineChars="200" w:firstLine="640"/>
        <w:rPr>
          <w:rFonts w:ascii="仿宋_GB2312" w:eastAsia="仿宋_GB2312"/>
          <w:sz w:val="32"/>
          <w:szCs w:val="32"/>
        </w:rPr>
      </w:pPr>
      <w:r>
        <w:rPr>
          <w:rFonts w:ascii="仿宋_GB2312" w:hAnsi="仿宋_GB2312" w:cs="仿宋_GB2312" w:eastAsia="仿宋_GB2312"/>
          <w:sz w:val="32"/>
        </w:rPr>
        <w:t>2019年度本年收入3,992.89万元，与上年相比，减少4,314.58万元，下降51.94%，主要原因是：其他收入较去年减少。本年支出4,423.08万元，与上年相比，减少3,426.87万元，下降43.65%，主要原因是：其他收入较去年减少。</w:t>
      </w:r>
    </w:p>
    <w:p w14:paraId="3093A798" w14:textId="77777777" w:rsidR="008853A8" w:rsidRDefault="008853A8">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2B914EFB" w14:textId="75DF8F00" w:rsidR="008853A8" w:rsidRDefault="00125A6F">
      <w:pPr>
        <w:ind w:firstLineChars="200" w:firstLine="640"/>
        <w:rPr>
          <w:rFonts w:ascii="仿宋_GB2312" w:eastAsia="仿宋_GB2312"/>
          <w:sz w:val="32"/>
          <w:szCs w:val="32"/>
        </w:rPr>
      </w:pPr>
      <w:r>
        <w:rPr>
          <w:rFonts w:ascii="仿宋_GB2312" w:hAnsi="仿宋_GB2312" w:cs="仿宋_GB2312" w:eastAsia="仿宋_GB2312"/>
          <w:sz w:val="32"/>
        </w:rPr>
        <w:t>2019年度本年收入3,992.89万元，其中：财政拨款收入3,893.56万元，占97.51%；上级补助收入0万元，占0%；事业收入0万元，占0%；经营收入0万元，占0%；附属单位上缴收入0万元，占0%；其他收入99.33万元，占2.49%。</w:t>
      </w:r>
    </w:p>
    <w:p w14:paraId="008FC815" w14:textId="77777777" w:rsidR="008853A8" w:rsidRDefault="008853A8">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26FB7964" w14:textId="23D4D7B7" w:rsidR="008853A8" w:rsidRDefault="00233021">
      <w:pPr>
        <w:ind w:firstLineChars="200" w:firstLine="640"/>
        <w:rPr>
          <w:rFonts w:ascii="仿宋_GB2312" w:eastAsia="仿宋_GB2312"/>
          <w:sz w:val="32"/>
          <w:szCs w:val="32"/>
        </w:rPr>
      </w:pPr>
      <w:r>
        <w:rPr>
          <w:rFonts w:ascii="仿宋_GB2312" w:hAnsi="仿宋_GB2312" w:cs="仿宋_GB2312" w:eastAsia="仿宋_GB2312"/>
          <w:sz w:val="32"/>
        </w:rPr>
        <w:t>2019年度本年支出4,423.08万元，其中：基本支出1,340.48万元，占30.31%；项目支出3,082.61万元，占69.69%；上缴上级支出0万元，占0%；经营支出0万元，占0%；对附属单位补助支出0万元，占0%。</w:t>
      </w:r>
    </w:p>
    <w:p w14:paraId="186CA7CE" w14:textId="77777777" w:rsidR="008853A8" w:rsidRDefault="008853A8">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14:paraId="1B6E4AD7" w14:textId="100B88EF" w:rsidR="008853A8" w:rsidRPr="001848EE" w:rsidRDefault="001C2D35">
      <w:pPr>
        <w:ind w:firstLineChars="200" w:firstLine="640"/>
        <w:rPr>
          <w:rFonts w:ascii="仿宋_GB2312" w:eastAsia="仿宋_GB2312"/>
          <w:sz w:val="32"/>
          <w:szCs w:val="32"/>
        </w:rPr>
      </w:pPr>
      <w:r>
        <w:rPr>
          <w:rFonts w:ascii="仿宋_GB2312" w:hAnsi="仿宋_GB2312" w:cs="仿宋_GB2312" w:eastAsia="仿宋_GB2312"/>
          <w:sz w:val="32"/>
        </w:rPr>
        <w:t>2019年度财政拨款收入3,893.56万元，与上年相比，增加78.15万元，增长2.05%，主要原因是：上级专项资金较去年增加。财政拨款支出4,056.23万元，与上年相比，增加421.91万元，增长11.61%，主要原因是：上级专项资金较去年增加。</w:t>
      </w:r>
    </w:p>
    <w:p w14:paraId="7139D063" w14:textId="11D128B6"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财政拨款收入年初预算数1,448.61万元，决算数3,893.56万元，预决算差异率168.78%，主要原因是：年初预算只有本级项目以及预告知的项目，后期到达的部分专项资金通过预算追加下达，因此决算数大于年初预算数。财政拨款支出年初预算数1,448.61万元，决算数4,056.23万元，预决算差异率180.01%，主要原因是：年初预算只有本级项目以及预告知的项目，后期到达的部分专项资金通过预算追加下达，因此决算数大于年初预算数。</w:t>
      </w:r>
    </w:p>
    <w:p w14:paraId="51FC69F3" w14:textId="77777777" w:rsidR="008853A8" w:rsidRDefault="008853A8">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5B797ACC" w14:textId="2DDC565C" w:rsidR="008853A8" w:rsidRDefault="005529D0">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2019年度一般公共预算财政拨款支出4,005.86万元。按功能分类科目项级科目公开，其中：</w:t>
      </w:r>
    </w:p>
    <w:p>
      <w:pPr>
        <w:ind w:firstLine="480"/>
        <w:jc w:val="both"/>
      </w:pPr>
      <w:r>
        <w:rPr>
          <w:rFonts w:ascii="仿宋_GB2312" w:hAnsi="仿宋_GB2312" w:cs="仿宋_GB2312" w:eastAsia="仿宋_GB2312"/>
          <w:b w:val="false"/>
          <w:sz w:val="32"/>
        </w:rPr>
        <w:t xml:space="preserve">   2010301行政运行支出758.27万元；</w:t>
      </w:r>
    </w:p>
    <w:p>
      <w:pPr>
        <w:ind w:firstLine="480"/>
        <w:jc w:val="both"/>
      </w:pPr>
      <w:r>
        <w:rPr>
          <w:rFonts w:ascii="仿宋_GB2312" w:hAnsi="仿宋_GB2312" w:cs="仿宋_GB2312" w:eastAsia="仿宋_GB2312"/>
          <w:b w:val="false"/>
          <w:sz w:val="32"/>
        </w:rPr>
        <w:t xml:space="preserve">   2010601行政运行支出9.52万元；</w:t>
      </w:r>
    </w:p>
    <w:p>
      <w:pPr>
        <w:ind w:firstLine="480"/>
        <w:jc w:val="both"/>
      </w:pPr>
      <w:r>
        <w:rPr>
          <w:rFonts w:ascii="仿宋_GB2312" w:hAnsi="仿宋_GB2312" w:cs="仿宋_GB2312" w:eastAsia="仿宋_GB2312"/>
          <w:b w:val="false"/>
          <w:sz w:val="32"/>
        </w:rPr>
        <w:t xml:space="preserve">   2011001行政运行支出26.49万元；</w:t>
      </w:r>
    </w:p>
    <w:p>
      <w:pPr>
        <w:ind w:firstLine="480"/>
        <w:jc w:val="both"/>
      </w:pPr>
      <w:r>
        <w:rPr>
          <w:rFonts w:ascii="仿宋_GB2312" w:hAnsi="仿宋_GB2312" w:cs="仿宋_GB2312" w:eastAsia="仿宋_GB2312"/>
          <w:b w:val="false"/>
          <w:sz w:val="32"/>
        </w:rPr>
        <w:t xml:space="preserve">   2011102一般行政管理事务支出5万元；</w:t>
      </w:r>
    </w:p>
    <w:p>
      <w:pPr>
        <w:ind w:firstLine="480"/>
        <w:jc w:val="both"/>
      </w:pPr>
      <w:r>
        <w:rPr>
          <w:rFonts w:ascii="仿宋_GB2312" w:hAnsi="仿宋_GB2312" w:cs="仿宋_GB2312" w:eastAsia="仿宋_GB2312"/>
          <w:b w:val="false"/>
          <w:sz w:val="32"/>
        </w:rPr>
        <w:t xml:space="preserve">   2013101行政运行支出139.87万元；</w:t>
      </w:r>
    </w:p>
    <w:p>
      <w:pPr>
        <w:ind w:firstLine="480"/>
        <w:jc w:val="both"/>
      </w:pPr>
      <w:r>
        <w:rPr>
          <w:rFonts w:ascii="仿宋_GB2312" w:hAnsi="仿宋_GB2312" w:cs="仿宋_GB2312" w:eastAsia="仿宋_GB2312"/>
          <w:b w:val="false"/>
          <w:sz w:val="32"/>
        </w:rPr>
        <w:t xml:space="preserve">   2013299其他组织事务支出436.02万元；</w:t>
      </w:r>
    </w:p>
    <w:p>
      <w:pPr>
        <w:ind w:firstLine="480"/>
        <w:jc w:val="both"/>
      </w:pPr>
      <w:r>
        <w:rPr>
          <w:rFonts w:ascii="仿宋_GB2312" w:hAnsi="仿宋_GB2312" w:cs="仿宋_GB2312" w:eastAsia="仿宋_GB2312"/>
          <w:b w:val="false"/>
          <w:sz w:val="32"/>
        </w:rPr>
        <w:t xml:space="preserve">   2013499其他统战事务支出40.75万元；</w:t>
      </w:r>
    </w:p>
    <w:p>
      <w:pPr>
        <w:ind w:firstLine="480"/>
        <w:jc w:val="both"/>
      </w:pPr>
      <w:r>
        <w:rPr>
          <w:rFonts w:ascii="仿宋_GB2312" w:hAnsi="仿宋_GB2312" w:cs="仿宋_GB2312" w:eastAsia="仿宋_GB2312"/>
          <w:b w:val="false"/>
          <w:sz w:val="32"/>
        </w:rPr>
        <w:t xml:space="preserve">   2019999其他一般公共服务支出62.38万元；</w:t>
      </w:r>
    </w:p>
    <w:p>
      <w:pPr>
        <w:ind w:firstLine="480"/>
        <w:jc w:val="both"/>
      </w:pPr>
      <w:r>
        <w:rPr>
          <w:rFonts w:ascii="仿宋_GB2312" w:hAnsi="仿宋_GB2312" w:cs="仿宋_GB2312" w:eastAsia="仿宋_GB2312"/>
          <w:b w:val="false"/>
          <w:sz w:val="32"/>
        </w:rPr>
        <w:t xml:space="preserve">   2040601行政运行支出10.63万元；</w:t>
      </w:r>
    </w:p>
    <w:p>
      <w:pPr>
        <w:ind w:firstLine="480"/>
        <w:jc w:val="both"/>
      </w:pPr>
      <w:r>
        <w:rPr>
          <w:rFonts w:ascii="仿宋_GB2312" w:hAnsi="仿宋_GB2312" w:cs="仿宋_GB2312" w:eastAsia="仿宋_GB2312"/>
          <w:b w:val="false"/>
          <w:sz w:val="32"/>
        </w:rPr>
        <w:t xml:space="preserve">   2050299其他普通教育支出7.20万元；</w:t>
      </w:r>
    </w:p>
    <w:p>
      <w:pPr>
        <w:ind w:firstLine="480"/>
        <w:jc w:val="both"/>
      </w:pPr>
      <w:r>
        <w:rPr>
          <w:rFonts w:ascii="仿宋_GB2312" w:hAnsi="仿宋_GB2312" w:cs="仿宋_GB2312" w:eastAsia="仿宋_GB2312"/>
          <w:b w:val="false"/>
          <w:sz w:val="32"/>
        </w:rPr>
        <w:t xml:space="preserve">   2070109群众文化支出8.59万元；</w:t>
      </w:r>
    </w:p>
    <w:p>
      <w:pPr>
        <w:ind w:firstLine="480"/>
        <w:jc w:val="both"/>
      </w:pPr>
      <w:r>
        <w:rPr>
          <w:rFonts w:ascii="仿宋_GB2312" w:hAnsi="仿宋_GB2312" w:cs="仿宋_GB2312" w:eastAsia="仿宋_GB2312"/>
          <w:b w:val="false"/>
          <w:sz w:val="32"/>
        </w:rPr>
        <w:t xml:space="preserve">   2070199其他文化和旅游支出5万元；</w:t>
      </w:r>
    </w:p>
    <w:p>
      <w:pPr>
        <w:ind w:firstLine="480"/>
        <w:jc w:val="both"/>
      </w:pPr>
      <w:r>
        <w:rPr>
          <w:rFonts w:ascii="仿宋_GB2312" w:hAnsi="仿宋_GB2312" w:cs="仿宋_GB2312" w:eastAsia="仿宋_GB2312"/>
          <w:b w:val="false"/>
          <w:sz w:val="32"/>
        </w:rPr>
        <w:t xml:space="preserve">   2070804广播支出16.34万元；</w:t>
      </w:r>
    </w:p>
    <w:p>
      <w:pPr>
        <w:ind w:firstLine="480"/>
        <w:jc w:val="both"/>
      </w:pPr>
      <w:r>
        <w:rPr>
          <w:rFonts w:ascii="仿宋_GB2312" w:hAnsi="仿宋_GB2312" w:cs="仿宋_GB2312" w:eastAsia="仿宋_GB2312"/>
          <w:b w:val="false"/>
          <w:sz w:val="32"/>
        </w:rPr>
        <w:t xml:space="preserve">   2079999其他文化体育与传媒支出2万元；</w:t>
      </w:r>
    </w:p>
    <w:p>
      <w:pPr>
        <w:ind w:firstLine="480"/>
        <w:jc w:val="both"/>
      </w:pPr>
      <w:r>
        <w:rPr>
          <w:rFonts w:ascii="仿宋_GB2312" w:hAnsi="仿宋_GB2312" w:cs="仿宋_GB2312" w:eastAsia="仿宋_GB2312"/>
          <w:b w:val="false"/>
          <w:sz w:val="32"/>
        </w:rPr>
        <w:t xml:space="preserve">   2080505机关事业单位基本养老保险缴费支出125.22万元；</w:t>
      </w:r>
    </w:p>
    <w:p>
      <w:pPr>
        <w:ind w:firstLine="480"/>
        <w:jc w:val="both"/>
      </w:pPr>
      <w:r>
        <w:rPr>
          <w:rFonts w:ascii="仿宋_GB2312" w:hAnsi="仿宋_GB2312" w:cs="仿宋_GB2312" w:eastAsia="仿宋_GB2312"/>
          <w:b w:val="false"/>
          <w:sz w:val="32"/>
        </w:rPr>
        <w:t xml:space="preserve">   2080799其他就业补助支出68.49万元；</w:t>
      </w:r>
    </w:p>
    <w:p>
      <w:pPr>
        <w:ind w:firstLine="480"/>
        <w:jc w:val="both"/>
      </w:pPr>
      <w:r>
        <w:rPr>
          <w:rFonts w:ascii="仿宋_GB2312" w:hAnsi="仿宋_GB2312" w:cs="仿宋_GB2312" w:eastAsia="仿宋_GB2312"/>
          <w:b w:val="false"/>
          <w:sz w:val="32"/>
        </w:rPr>
        <w:t xml:space="preserve">   2089901其他社会保障和就业支出89.63万元；</w:t>
      </w:r>
    </w:p>
    <w:p>
      <w:pPr>
        <w:ind w:firstLine="480"/>
        <w:jc w:val="both"/>
      </w:pPr>
      <w:r>
        <w:rPr>
          <w:rFonts w:ascii="仿宋_GB2312" w:hAnsi="仿宋_GB2312" w:cs="仿宋_GB2312" w:eastAsia="仿宋_GB2312"/>
          <w:b w:val="false"/>
          <w:sz w:val="32"/>
        </w:rPr>
        <w:t xml:space="preserve">   2100799其他计划生育事务支出15.69万元；</w:t>
      </w:r>
    </w:p>
    <w:p>
      <w:pPr>
        <w:ind w:firstLine="480"/>
        <w:jc w:val="both"/>
      </w:pPr>
      <w:r>
        <w:rPr>
          <w:rFonts w:ascii="仿宋_GB2312" w:hAnsi="仿宋_GB2312" w:cs="仿宋_GB2312" w:eastAsia="仿宋_GB2312"/>
          <w:b w:val="false"/>
          <w:sz w:val="32"/>
        </w:rPr>
        <w:t xml:space="preserve">   2130104事业运行支出129.32万元；</w:t>
      </w:r>
    </w:p>
    <w:p>
      <w:pPr>
        <w:ind w:firstLine="480"/>
        <w:jc w:val="both"/>
      </w:pPr>
      <w:r>
        <w:rPr>
          <w:rFonts w:ascii="仿宋_GB2312" w:hAnsi="仿宋_GB2312" w:cs="仿宋_GB2312" w:eastAsia="仿宋_GB2312"/>
          <w:b w:val="false"/>
          <w:sz w:val="32"/>
        </w:rPr>
        <w:t xml:space="preserve">   2130106科技转化与推广服务支出6.20万元；</w:t>
      </w:r>
    </w:p>
    <w:p>
      <w:pPr>
        <w:ind w:firstLine="480"/>
        <w:jc w:val="both"/>
      </w:pPr>
      <w:r>
        <w:rPr>
          <w:rFonts w:ascii="仿宋_GB2312" w:hAnsi="仿宋_GB2312" w:cs="仿宋_GB2312" w:eastAsia="仿宋_GB2312"/>
          <w:b w:val="false"/>
          <w:sz w:val="32"/>
        </w:rPr>
        <w:t xml:space="preserve">   2130122农业生产支持补贴支出141.40万元；</w:t>
      </w:r>
    </w:p>
    <w:p>
      <w:pPr>
        <w:ind w:firstLine="480"/>
        <w:jc w:val="both"/>
      </w:pPr>
      <w:r>
        <w:rPr>
          <w:rFonts w:ascii="仿宋_GB2312" w:hAnsi="仿宋_GB2312" w:cs="仿宋_GB2312" w:eastAsia="仿宋_GB2312"/>
          <w:b w:val="false"/>
          <w:sz w:val="32"/>
        </w:rPr>
        <w:t xml:space="preserve">   2130135农业资源保护修复与利用支出69.24万元；</w:t>
      </w:r>
    </w:p>
    <w:p>
      <w:pPr>
        <w:ind w:firstLine="480"/>
        <w:jc w:val="both"/>
      </w:pPr>
      <w:r>
        <w:rPr>
          <w:rFonts w:ascii="仿宋_GB2312" w:hAnsi="仿宋_GB2312" w:cs="仿宋_GB2312" w:eastAsia="仿宋_GB2312"/>
          <w:b w:val="false"/>
          <w:sz w:val="32"/>
        </w:rPr>
        <w:t xml:space="preserve">   2130152对高校毕业生到基层任职补助支出4.15万元；</w:t>
      </w:r>
    </w:p>
    <w:p>
      <w:pPr>
        <w:ind w:firstLine="480"/>
        <w:jc w:val="both"/>
      </w:pPr>
      <w:r>
        <w:rPr>
          <w:rFonts w:ascii="仿宋_GB2312" w:hAnsi="仿宋_GB2312" w:cs="仿宋_GB2312" w:eastAsia="仿宋_GB2312"/>
          <w:b w:val="false"/>
          <w:sz w:val="32"/>
        </w:rPr>
        <w:t xml:space="preserve">   2130204事业机构支出8.90万元；</w:t>
      </w:r>
    </w:p>
    <w:p>
      <w:pPr>
        <w:ind w:firstLine="480"/>
        <w:jc w:val="both"/>
      </w:pPr>
      <w:r>
        <w:rPr>
          <w:rFonts w:ascii="仿宋_GB2312" w:hAnsi="仿宋_GB2312" w:cs="仿宋_GB2312" w:eastAsia="仿宋_GB2312"/>
          <w:b w:val="false"/>
          <w:sz w:val="32"/>
        </w:rPr>
        <w:t xml:space="preserve">   2130207森林资源管理支出109.17万元；</w:t>
      </w:r>
    </w:p>
    <w:p>
      <w:pPr>
        <w:ind w:firstLine="480"/>
        <w:jc w:val="both"/>
      </w:pPr>
      <w:r>
        <w:rPr>
          <w:rFonts w:ascii="仿宋_GB2312" w:hAnsi="仿宋_GB2312" w:cs="仿宋_GB2312" w:eastAsia="仿宋_GB2312"/>
          <w:b w:val="false"/>
          <w:sz w:val="32"/>
        </w:rPr>
        <w:t xml:space="preserve">   2130505生产发展支出251.93万元；</w:t>
      </w:r>
    </w:p>
    <w:p>
      <w:pPr>
        <w:ind w:firstLine="480"/>
        <w:jc w:val="both"/>
      </w:pPr>
      <w:r>
        <w:rPr>
          <w:rFonts w:ascii="仿宋_GB2312" w:hAnsi="仿宋_GB2312" w:cs="仿宋_GB2312" w:eastAsia="仿宋_GB2312"/>
          <w:b w:val="false"/>
          <w:sz w:val="32"/>
        </w:rPr>
        <w:t xml:space="preserve">   2130701对村级一事一议的补助支出46.90万元；</w:t>
      </w:r>
    </w:p>
    <w:p>
      <w:pPr>
        <w:ind w:firstLine="480"/>
        <w:jc w:val="both"/>
      </w:pPr>
      <w:r>
        <w:rPr>
          <w:rFonts w:ascii="仿宋_GB2312" w:hAnsi="仿宋_GB2312" w:cs="仿宋_GB2312" w:eastAsia="仿宋_GB2312"/>
          <w:b w:val="false"/>
          <w:sz w:val="32"/>
        </w:rPr>
        <w:t xml:space="preserve">   2139999其他农林水支出635.86万元；</w:t>
      </w:r>
    </w:p>
    <w:p>
      <w:pPr>
        <w:ind w:firstLine="480"/>
        <w:jc w:val="both"/>
      </w:pPr>
      <w:r>
        <w:rPr>
          <w:rFonts w:ascii="仿宋_GB2312" w:hAnsi="仿宋_GB2312" w:cs="仿宋_GB2312" w:eastAsia="仿宋_GB2312"/>
          <w:b w:val="false"/>
          <w:sz w:val="32"/>
        </w:rPr>
        <w:t xml:space="preserve">   2210105农村危房改造支出601.55万元；</w:t>
      </w:r>
    </w:p>
    <w:p>
      <w:pPr>
        <w:ind w:firstLine="480"/>
        <w:jc w:val="both"/>
      </w:pPr>
      <w:r>
        <w:rPr>
          <w:rFonts w:ascii="仿宋_GB2312" w:hAnsi="仿宋_GB2312" w:cs="仿宋_GB2312" w:eastAsia="仿宋_GB2312"/>
          <w:b w:val="false"/>
          <w:sz w:val="32"/>
        </w:rPr>
        <w:t xml:space="preserve">   2210201住房公积金支出91.63万元；</w:t>
      </w:r>
    </w:p>
    <w:p>
      <w:pPr>
        <w:ind w:firstLine="480"/>
        <w:jc w:val="both"/>
      </w:pPr>
      <w:r>
        <w:rPr>
          <w:rFonts w:ascii="仿宋_GB2312" w:hAnsi="仿宋_GB2312" w:cs="仿宋_GB2312" w:eastAsia="仿宋_GB2312"/>
          <w:b w:val="false"/>
          <w:sz w:val="32"/>
        </w:rPr>
        <w:t xml:space="preserve">   2299901其他支出82.50万元。</w:t>
      </w:r>
    </w:p>
    <w:p w14:paraId="049DFBB4" w14:textId="77777777" w:rsidR="008853A8" w:rsidRDefault="008853A8">
      <w:pPr>
        <w:ind w:firstLineChars="200" w:firstLine="640"/>
        <w:outlineLvl w:val="1"/>
        <w:rPr>
          <w:rFonts w:ascii="黑体" w:eastAsia="黑体" w:hAnsi="黑体" w:cs="宋体"/>
          <w:bCs/>
          <w:kern w:val="0"/>
          <w:sz w:val="32"/>
          <w:szCs w:val="32"/>
        </w:rPr>
      </w:pPr>
      <w:bookmarkStart w:id="18" w:name="_Toc11146"/>
      <w:bookmarkStart w:id="19" w:name="_Toc30870"/>
      <w:r>
        <w:rPr>
          <w:rFonts w:ascii="黑体" w:eastAsia="黑体" w:hAnsi="黑体" w:cs="宋体" w:hint="eastAsia"/>
          <w:bCs/>
          <w:kern w:val="0"/>
          <w:sz w:val="32"/>
          <w:szCs w:val="32"/>
        </w:rPr>
        <w:t>六、一般公共预算财政拨款基本支出决算情况说明</w:t>
      </w:r>
      <w:bookmarkEnd w:id="18"/>
      <w:bookmarkEnd w:id="19"/>
    </w:p>
    <w:p w14:paraId="3BCDD0A1" w14:textId="25AC9A26" w:rsidR="008853A8" w:rsidRDefault="005B1DE6">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2019年度一般公共预算财政拨款基本支出1,340.48万元，其中：</w:t>
      </w:r>
    </w:p>
    <w:p w14:paraId="61C978B8" w14:textId="68C70B32"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人员经费1,170.21万元，包括：基本工资、津贴补贴、奖金、绩效工资、机关事业单位基本养老保险缴费、职工基本医疗保险缴费、公务员医疗补助缴费、其他社会保障缴费、住房公积金、其他工资福利支出、退休费、生活补助、奖励金。</w:t>
      </w:r>
    </w:p>
    <w:p w14:paraId="09290895" w14:textId="4CFD8C08"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公用经费170.27万元，包括：办公费、电费、邮电费、取暖费、劳务费、公务用车运行维护费。</w:t>
      </w:r>
    </w:p>
    <w:p w14:paraId="1F5CEF98" w14:textId="77777777" w:rsidR="008853A8" w:rsidRDefault="008853A8">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t>七、一般公共预算财政拨款“三公”经费支出决算情况说明</w:t>
      </w:r>
      <w:bookmarkEnd w:id="20"/>
      <w:bookmarkEnd w:id="21"/>
    </w:p>
    <w:p w14:paraId="4B605590" w14:textId="2ECB7DD7" w:rsidR="008853A8" w:rsidRDefault="00340AE7">
      <w:pPr>
        <w:ind w:firstLineChars="200" w:firstLine="640"/>
        <w:rPr>
          <w:rFonts w:ascii="仿宋_GB2312" w:eastAsia="仿宋_GB2312"/>
          <w:sz w:val="32"/>
          <w:szCs w:val="32"/>
        </w:rPr>
      </w:pPr>
      <w:r>
        <w:rPr>
          <w:rFonts w:ascii="仿宋_GB2312" w:hAnsi="仿宋_GB2312" w:cs="仿宋_GB2312" w:eastAsia="仿宋_GB2312"/>
          <w:sz w:val="32"/>
        </w:rPr>
        <w:t>2019年度一般公共预算“三公”经费支出决算33.20万元，比上年增加0.19万元，增长0.58%，主要原因是车辆老旧，油耗以及维修养护费用支出增加，因此“三公”经费开支较去年增加。其中，因公出国（境）费支出0万元，占0%，比上年增加0万元，增长0%，主要原因是与上年相比无变动，与上年一致；公务用车购置及运行维护费支出33.20万元，占100%，比上年增加0.19万元，增长0.58%，主要原因是车辆老旧，油耗以及维修养护费用支出增加，因此“三公”经费开支较去年增加；公务接待费支出0万元，占0%，比上年增加0万元，增长0%，主要原因是与上年相比无变动，与上年一致。具体情况如下：</w:t>
      </w:r>
    </w:p>
    <w:p w14:paraId="49BF49C2" w14:textId="3BDB51C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因公出国（境）费支出0万元，开支内容包括：预算未安排，无此项支出。单位全年安排的因公出国（境）团组0个，因公出国（境）0人次。</w:t>
      </w:r>
    </w:p>
    <w:p w14:paraId="4A7D6627" w14:textId="2636864C"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用车购置及运行维护费33.20万元，其中，公务用车购置费0万元，公务用车运行维护费33.20万元。公务用车运行维护费开支内容包括汽车油料、维护费、保险费、车辆年检费。公务用车购置数0辆，公务用车保有量4辆。</w:t>
      </w:r>
    </w:p>
    <w:p w14:paraId="47C4B55E" w14:textId="65759774"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公务接待费0万元，开支内容包括预算未安排，无此项支出。单位全年安排的国内公务接待0批次，0人次。</w:t>
      </w:r>
    </w:p>
    <w:p w14:paraId="606EB0C3" w14:textId="1E9AC7CE"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一般公共预算“三公”经费支出年初预算数3.12万元，决算数33.20万元，预决算差异率964.1%，主要原因是：在职人员新增13人，其次年初预算项目未安排“三公”经费，决算从项目中列支一部分“三公”经费，因此决算数大于年初预算数。其中：因公出国（境）费预算数0万元，决算数0万元，预决算差异率0%，主要原因是：预算未安排，也无相应支出，因此预决算无差异；公务用车购置费预算数0万元，决算数0万元，预决算差异率0%，主要原因是：预算未安排，也无相应支出，因此预决算无差异；公务用车运行费预算数3.12万元，决算数33.20万元，预决算差异率964.1%，主要原因是：在职人员新增13人，其次年初预算项目未安排“三公”经费，决算从项目中列支一部分“三公”经费，因此决算数大于年初预算数；公务接待费预算数0万元，决算数0万元，预决算差异率0%，主要原因是：预算未安排，也无相应支出，因此预决算无差异。</w:t>
      </w:r>
    </w:p>
    <w:p w14:paraId="11800BF9" w14:textId="2A0977DB" w:rsidR="008853A8" w:rsidRDefault="008853A8">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八、政府性基金预算收入支出决算情况说明</w:t>
      </w:r>
      <w:bookmarkEnd w:id="22"/>
      <w:bookmarkEnd w:id="23"/>
    </w:p>
    <w:p w14:paraId="1D95B262" w14:textId="74B49A74" w:rsidR="008853A8" w:rsidRPr="008F7D99" w:rsidRDefault="00922FA7">
      <w:pPr>
        <w:ind w:firstLineChars="200" w:firstLine="640"/>
        <w:rPr>
          <w:rFonts w:ascii="仿宋_GB2312" w:eastAsia="仿宋_GB2312"/>
          <w:color w:val="000000" w:themeColor="text1"/>
          <w:sz w:val="32"/>
          <w:szCs w:val="32"/>
        </w:rPr>
      </w:pPr>
      <w:r>
        <w:rPr>
          <w:rFonts w:ascii="仿宋_GB2312" w:hAnsi="仿宋_GB2312" w:cs="仿宋_GB2312" w:eastAsia="仿宋_GB2312"/>
          <w:sz w:val="32"/>
        </w:rPr>
        <w:t>2019年度政府性基金预算财政拨款收入15.10万元，与上年相比，减少193.04万元，下降92.75%，主要原因是：上级专项资金较去年减少。政府性基金预算支出50.37万元，与上年相比，减少108.68万元，下降68.33%，主要原因是：上级专项资金较去年减少。</w:t>
      </w:r>
    </w:p>
    <w:p w14:paraId="12E90A62" w14:textId="77777777" w:rsidR="008853A8" w:rsidRDefault="008853A8">
      <w:pPr>
        <w:ind w:firstLineChars="200" w:firstLine="640"/>
        <w:outlineLvl w:val="1"/>
        <w:rPr>
          <w:rFonts w:ascii="黑体" w:eastAsia="黑体" w:hAnsi="黑体" w:cs="宋体"/>
          <w:bCs/>
          <w:kern w:val="0"/>
          <w:sz w:val="32"/>
          <w:szCs w:val="32"/>
        </w:rPr>
      </w:pPr>
      <w:bookmarkStart w:id="24" w:name="_Toc7314"/>
      <w:bookmarkStart w:id="25" w:name="_Toc1235"/>
      <w:r>
        <w:rPr>
          <w:rFonts w:ascii="黑体" w:eastAsia="黑体" w:hAnsi="黑体" w:cs="宋体" w:hint="eastAsia"/>
          <w:bCs/>
          <w:kern w:val="0"/>
          <w:sz w:val="32"/>
          <w:szCs w:val="32"/>
        </w:rPr>
        <w:t>九、其他重要事项的情况说明</w:t>
      </w:r>
      <w:bookmarkEnd w:id="24"/>
      <w:bookmarkEnd w:id="25"/>
    </w:p>
    <w:p w14:paraId="11400E99" w14:textId="77777777" w:rsidR="008853A8" w:rsidRDefault="008853A8">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14:paraId="75A0F21C" w14:textId="3A75121C" w:rsidR="00553FB5" w:rsidRDefault="00553FB5">
      <w:pPr>
        <w:ind w:firstLineChars="200" w:firstLine="640"/>
        <w:rPr>
          <w:rFonts w:ascii="仿宋_GB2312" w:eastAsia="仿宋_GB2312"/>
          <w:sz w:val="32"/>
          <w:szCs w:val="32"/>
        </w:rPr>
      </w:pPr>
      <w:r>
        <w:rPr>
          <w:rFonts w:ascii="仿宋_GB2312" w:hAnsi="仿宋_GB2312" w:cs="仿宋_GB2312" w:eastAsia="仿宋_GB2312"/>
          <w:sz w:val="32"/>
        </w:rPr>
        <w:t>2019年度新疆喀什地区麦盖提县库尔玛乡人民政府机关运行经费支出170.27万元，比上年减少104.78万元，降低38.09%，主要原因是厉行节约，压缩一切不必要开支，日常公用经费较去年降低。</w:t>
      </w:r>
    </w:p>
    <w:p w14:paraId="72BCBEBD" w14:textId="77777777" w:rsidR="008853A8" w:rsidRDefault="008853A8">
      <w:pPr>
        <w:ind w:firstLineChars="200" w:firstLine="640"/>
        <w:outlineLvl w:val="2"/>
        <w:rPr>
          <w:rFonts w:ascii="黑体" w:eastAsia="黑体" w:hAnsi="黑体"/>
          <w:sz w:val="32"/>
          <w:szCs w:val="32"/>
        </w:rPr>
      </w:pPr>
      <w:bookmarkStart w:id="28" w:name="_Toc26704"/>
      <w:bookmarkStart w:id="29" w:name="_Toc227"/>
      <w:r>
        <w:rPr>
          <w:rFonts w:ascii="黑体" w:eastAsia="黑体" w:hAnsi="黑体" w:hint="eastAsia"/>
          <w:sz w:val="32"/>
          <w:szCs w:val="32"/>
        </w:rPr>
        <w:t>（二）政府采购情况</w:t>
      </w:r>
      <w:bookmarkEnd w:id="28"/>
      <w:bookmarkEnd w:id="29"/>
    </w:p>
    <w:p w14:paraId="4DEE57E3" w14:textId="498B5E20" w:rsidR="008853A8" w:rsidRDefault="002122DE">
      <w:pPr>
        <w:ind w:firstLineChars="200" w:firstLine="640"/>
        <w:rPr>
          <w:rFonts w:ascii="仿宋_GB2312" w:eastAsia="仿宋_GB2312"/>
          <w:sz w:val="32"/>
          <w:szCs w:val="32"/>
        </w:rPr>
      </w:pPr>
      <w:r>
        <w:rPr>
          <w:rFonts w:ascii="仿宋_GB2312" w:hAnsi="仿宋_GB2312" w:cs="仿宋_GB2312" w:eastAsia="仿宋_GB2312"/>
          <w:sz w:val="32"/>
        </w:rPr>
        <w:t>2019年度政府采购支出总额220.58万元，其中：政府采购货物支出219.02万元、政府采购工程支出0万元、政府采购服务支出1.56万元。</w:t>
      </w:r>
    </w:p>
    <w:p w14:paraId="4BAE89CA" w14:textId="67110A7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授予中小企业合同金额220.58万元，占政府采购支出总额的100%，其中：授予小微企业合同金额220.58万元，占政府采购支出总额的100%。</w:t>
      </w:r>
    </w:p>
    <w:p w14:paraId="01E8DA8F" w14:textId="77777777" w:rsidR="008853A8" w:rsidRDefault="008853A8">
      <w:pPr>
        <w:ind w:firstLineChars="200" w:firstLine="640"/>
        <w:outlineLvl w:val="2"/>
        <w:rPr>
          <w:rFonts w:ascii="黑体" w:eastAsia="黑体" w:hAnsi="黑体"/>
          <w:sz w:val="32"/>
          <w:szCs w:val="32"/>
        </w:rPr>
      </w:pPr>
      <w:bookmarkStart w:id="30" w:name="_Toc4591"/>
      <w:bookmarkStart w:id="31" w:name="_Toc8391"/>
      <w:r>
        <w:rPr>
          <w:rFonts w:ascii="黑体" w:eastAsia="黑体" w:hAnsi="黑体" w:hint="eastAsia"/>
          <w:sz w:val="32"/>
          <w:szCs w:val="32"/>
        </w:rPr>
        <w:t>（三）国有资产占用情况说明</w:t>
      </w:r>
      <w:bookmarkEnd w:id="30"/>
      <w:bookmarkEnd w:id="31"/>
    </w:p>
    <w:p w14:paraId="5D15610F" w14:textId="67052147"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截止2019年12月31日，单位共有房屋7,499.78（平方米），价值999.11万元。车辆4辆，价值53.57万元，其中：副部（省）级及以上领导用车0辆、主要领导干部用车0辆、机要通信用车0辆、应急保障用车0辆、执法执勤用车0辆、特种专业技术用车0辆、离退休干部用车0辆、其他用车4辆，其他用车主要是：一般公务用车；单位价值50万元以上通用设备0台（套）、单位价值100万元以上专用设备0台（套）。</w:t>
      </w:r>
    </w:p>
    <w:p w14:paraId="183976BD" w14:textId="77777777" w:rsidR="008853A8" w:rsidRDefault="008853A8">
      <w:pPr>
        <w:ind w:firstLineChars="200" w:firstLine="640"/>
        <w:outlineLvl w:val="1"/>
        <w:rPr>
          <w:rFonts w:ascii="黑体" w:eastAsia="黑体" w:hAnsi="黑体" w:cs="宋体"/>
          <w:bCs/>
          <w:kern w:val="0"/>
          <w:sz w:val="32"/>
          <w:szCs w:val="32"/>
        </w:rPr>
      </w:pPr>
      <w:bookmarkStart w:id="32" w:name="_Toc435"/>
      <w:bookmarkStart w:id="33" w:name="_Toc11283"/>
      <w:r>
        <w:rPr>
          <w:rFonts w:ascii="黑体" w:eastAsia="黑体" w:hAnsi="黑体" w:cs="宋体" w:hint="eastAsia"/>
          <w:bCs/>
          <w:kern w:val="0"/>
          <w:sz w:val="32"/>
          <w:szCs w:val="32"/>
        </w:rPr>
        <w:t>十、预算绩效的情况说明</w:t>
      </w:r>
      <w:bookmarkEnd w:id="32"/>
      <w:bookmarkEnd w:id="33"/>
    </w:p>
    <w:p w14:paraId="6F8CE58F" w14:textId="5A0ABE11" w:rsidR="008853A8" w:rsidRDefault="0095219B">
      <w:pPr>
        <w:ind w:firstLineChars="200" w:firstLine="640"/>
        <w:rPr>
          <w:rFonts w:ascii="仿宋_GB2312" w:eastAsia="仿宋_GB2312"/>
          <w:sz w:val="32"/>
          <w:szCs w:val="32"/>
        </w:rPr>
      </w:pPr>
      <w:r>
        <w:rPr>
          <w:rFonts w:ascii="仿宋_GB2312" w:hAnsi="仿宋_GB2312" w:cs="仿宋_GB2312" w:eastAsia="仿宋_GB2312"/>
          <w:sz w:val="32"/>
        </w:rPr>
        <w:t>根据预算绩效管理要求，我单位2019年度开展预算绩效评价项目12个，共涉及资金297.24万元。预算绩效管理取得的成效：1、村级集体奖补资金：壮大村集体经济，促进农民增收。加快脱贫攻坚的步伐；2、村级运转经费项目：用于村级办公用品购置，村级组织活动等村级运行管理支出；3、“访民情惠民生聚民心”村级工作经费：更好更扎实的开展基层工作，做好“访民情惠民生聚民心”村级工作任务；4、红光村水库移民路灯安装项目：水库移民集中居住点亮化工程，安装路灯45盏已全部完成；5、困难群众补助资金：保障困难群众等特殊群体生活的资金，给困难群众提供基本的生活保障，给困难群众提供基本的生活保障。在惠民生、解民忧、强安全、促和谐等发面发挥了重要的作用；6、富余劳动力外出技能培训资金：加强农村富余劳动力转移培训，提高培训的针对性和有效性，推进以培训促转移就业、以转移就业促农民增收；7、棉花目标价格项目：为落实好棉花目标价格改革政策精神，将改革政策及时惠及广大棉花种植户，调动和提高农民种植棉花的积极性，确保农业生产经营秩序和谐，认真做好棉花目标价格补贴资金的发放工作；8、农村危房改造项目：帮助农村贫困群众解决住房安全的基础保障，改善农民的生活条件，合理的利用土地资源，快速促进农村建设发展；9、软涣散村工作经费项目：健全村级班子建设，提升服务群众能力，增强发展经济活力，全面加强基层组织建设，进一步增强村党组织的凝聚力、战斗力、进一步提高基层组织建设整体水平，进一步开创美丽和谐幸福的新局面；10、生态护林员工资项目：增加群众就近就业率、森林资源得到有效保护，毁林、狩猎人员减少；11、土鸡养殖项目资金：加快脱贫攻坚的步伐，逐步改变落后面貌，解放群众思想，促安定，促发展促进农民增收；12、现役、退伍军人春节慰问：保障国家对现役、退伍军人的抚恤优待，我乡对56名退伍军人进行慰问，以此彰显服兵役义务的平衡、彰显服兵役的荣誉、彰显服兵役的社会责任、彰显社会对军人的尊重。发现的问题及原因：前期项目开展缓慢，导致了资金滞缓，影响了项目的进度。下一步改进措施：项目启动时同步做好档案的归纳与整理，及时整理、收集、汇总，健全档案资料。具体项目自评情况附项目支出绩效自评表。</w:t>
      </w:r>
    </w:p>
    <w:p w14:paraId="0B4F81EF" w14:textId="77777777" w:rsidR="008853A8" w:rsidRDefault="008853A8">
      <w:pPr>
        <w:ind w:firstLineChars="200" w:firstLine="640"/>
        <w:jc w:val="center"/>
        <w:outlineLvl w:val="0"/>
        <w:rPr>
          <w:rFonts w:ascii="黑体" w:eastAsia="黑体" w:hAnsi="黑体"/>
          <w:sz w:val="32"/>
          <w:szCs w:val="32"/>
        </w:rPr>
      </w:pPr>
      <w:bookmarkStart w:id="34" w:name="_Toc24143"/>
      <w:bookmarkStart w:id="35" w:name="_Toc3250"/>
      <w:r>
        <w:rPr>
          <w:rFonts w:ascii="黑体" w:eastAsia="黑体" w:hAnsi="黑体" w:hint="eastAsia"/>
          <w:sz w:val="32"/>
          <w:szCs w:val="32"/>
        </w:rPr>
        <w:t>第三部分 专业名词解释</w:t>
      </w:r>
      <w:bookmarkEnd w:id="34"/>
      <w:bookmarkEnd w:id="35"/>
    </w:p>
    <w:p w14:paraId="04385F5B"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14:paraId="01AEDC0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14:paraId="2C3B0A2D"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14:paraId="700224D5"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14:paraId="1D4BF0F9"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14:paraId="05684206"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14:paraId="0BB9913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14:paraId="690389F8"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14:paraId="47D0DD6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14:paraId="32CA0731"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14:paraId="0B82AFA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14:paraId="2F9A67A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14:paraId="51862E8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14:paraId="23B4D7BA"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6BC4C1C0" w14:textId="77777777" w:rsidR="008853A8" w:rsidRDefault="008853A8">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7649D204" w14:textId="77777777" w:rsidR="008853A8" w:rsidRDefault="008853A8">
      <w:pPr>
        <w:ind w:firstLineChars="200" w:firstLine="640"/>
        <w:jc w:val="center"/>
        <w:outlineLvl w:val="0"/>
        <w:rPr>
          <w:rFonts w:ascii="黑体" w:eastAsia="黑体" w:hAnsi="黑体"/>
          <w:sz w:val="32"/>
          <w:szCs w:val="32"/>
        </w:rPr>
      </w:pPr>
      <w:bookmarkStart w:id="36" w:name="_Toc28903"/>
      <w:bookmarkStart w:id="37" w:name="_Toc22784"/>
      <w:r>
        <w:rPr>
          <w:rFonts w:ascii="黑体" w:eastAsia="黑体" w:hAnsi="黑体" w:hint="eastAsia"/>
          <w:sz w:val="32"/>
          <w:szCs w:val="32"/>
        </w:rPr>
        <w:t>第四部分 部门决算报表（见附表）</w:t>
      </w:r>
      <w:bookmarkEnd w:id="36"/>
      <w:bookmarkEnd w:id="37"/>
    </w:p>
    <w:p w14:paraId="090AD99E" w14:textId="77777777" w:rsidR="008853A8" w:rsidRDefault="008853A8">
      <w:pPr>
        <w:ind w:firstLineChars="200" w:firstLine="640"/>
        <w:outlineLvl w:val="1"/>
        <w:rPr>
          <w:rFonts w:ascii="黑体" w:eastAsia="黑体" w:hAnsi="黑体" w:cs="宋体"/>
          <w:bCs/>
          <w:kern w:val="0"/>
          <w:sz w:val="32"/>
          <w:szCs w:val="32"/>
        </w:rPr>
      </w:pPr>
      <w:bookmarkStart w:id="38" w:name="_Toc6062"/>
      <w:bookmarkStart w:id="39" w:name="_Toc2183"/>
      <w:r>
        <w:rPr>
          <w:rFonts w:ascii="黑体" w:eastAsia="黑体" w:hAnsi="黑体" w:cs="宋体" w:hint="eastAsia"/>
          <w:bCs/>
          <w:kern w:val="0"/>
          <w:sz w:val="32"/>
          <w:szCs w:val="32"/>
        </w:rPr>
        <w:t>一、《收入支出决算总表》</w:t>
      </w:r>
      <w:bookmarkEnd w:id="38"/>
      <w:bookmarkEnd w:id="39"/>
    </w:p>
    <w:p w14:paraId="004B471D" w14:textId="77777777" w:rsidR="008853A8" w:rsidRDefault="008853A8">
      <w:pPr>
        <w:ind w:firstLineChars="200" w:firstLine="640"/>
        <w:outlineLvl w:val="1"/>
        <w:rPr>
          <w:rFonts w:ascii="黑体" w:eastAsia="黑体" w:hAnsi="黑体" w:cs="宋体"/>
          <w:bCs/>
          <w:kern w:val="0"/>
          <w:sz w:val="32"/>
          <w:szCs w:val="32"/>
        </w:rPr>
      </w:pPr>
      <w:bookmarkStart w:id="40" w:name="_Toc30364"/>
      <w:bookmarkStart w:id="41" w:name="_Toc24532"/>
      <w:r>
        <w:rPr>
          <w:rFonts w:ascii="黑体" w:eastAsia="黑体" w:hAnsi="黑体" w:cs="宋体" w:hint="eastAsia"/>
          <w:bCs/>
          <w:kern w:val="0"/>
          <w:sz w:val="32"/>
          <w:szCs w:val="32"/>
        </w:rPr>
        <w:t>二、《收入决算表》</w:t>
      </w:r>
      <w:bookmarkEnd w:id="40"/>
      <w:bookmarkEnd w:id="41"/>
    </w:p>
    <w:p w14:paraId="62F3C64D" w14:textId="77777777" w:rsidR="008853A8" w:rsidRDefault="008853A8">
      <w:pPr>
        <w:ind w:firstLineChars="200" w:firstLine="640"/>
        <w:outlineLvl w:val="1"/>
        <w:rPr>
          <w:rFonts w:ascii="黑体" w:eastAsia="黑体" w:hAnsi="黑体" w:cs="宋体"/>
          <w:bCs/>
          <w:kern w:val="0"/>
          <w:sz w:val="32"/>
          <w:szCs w:val="32"/>
        </w:rPr>
      </w:pPr>
      <w:bookmarkStart w:id="42" w:name="_Toc21304"/>
      <w:bookmarkStart w:id="43" w:name="_Toc32434"/>
      <w:r>
        <w:rPr>
          <w:rFonts w:ascii="黑体" w:eastAsia="黑体" w:hAnsi="黑体" w:cs="宋体" w:hint="eastAsia"/>
          <w:bCs/>
          <w:kern w:val="0"/>
          <w:sz w:val="32"/>
          <w:szCs w:val="32"/>
        </w:rPr>
        <w:t>三、《支出决算表》</w:t>
      </w:r>
      <w:bookmarkEnd w:id="42"/>
      <w:bookmarkEnd w:id="43"/>
    </w:p>
    <w:p w14:paraId="3D0B5C9A" w14:textId="77777777" w:rsidR="008853A8" w:rsidRDefault="008853A8">
      <w:pPr>
        <w:ind w:firstLineChars="200" w:firstLine="640"/>
        <w:outlineLvl w:val="1"/>
        <w:rPr>
          <w:rFonts w:ascii="黑体" w:eastAsia="黑体" w:hAnsi="黑体" w:cs="宋体"/>
          <w:bCs/>
          <w:kern w:val="0"/>
          <w:sz w:val="32"/>
          <w:szCs w:val="32"/>
        </w:rPr>
      </w:pPr>
      <w:bookmarkStart w:id="44" w:name="_Toc14238"/>
      <w:bookmarkStart w:id="45" w:name="_Toc28786"/>
      <w:r>
        <w:rPr>
          <w:rFonts w:ascii="黑体" w:eastAsia="黑体" w:hAnsi="黑体" w:cs="宋体" w:hint="eastAsia"/>
          <w:bCs/>
          <w:kern w:val="0"/>
          <w:sz w:val="32"/>
          <w:szCs w:val="32"/>
        </w:rPr>
        <w:t>四、《财政拨款收入支出决算总表》</w:t>
      </w:r>
      <w:bookmarkEnd w:id="44"/>
      <w:bookmarkEnd w:id="45"/>
    </w:p>
    <w:p w14:paraId="77EC65FF" w14:textId="77777777" w:rsidR="008853A8" w:rsidRDefault="008853A8">
      <w:pPr>
        <w:ind w:firstLineChars="200" w:firstLine="640"/>
        <w:outlineLvl w:val="1"/>
        <w:rPr>
          <w:rFonts w:ascii="黑体" w:eastAsia="黑体" w:hAnsi="黑体" w:cs="宋体"/>
          <w:bCs/>
          <w:kern w:val="0"/>
          <w:sz w:val="32"/>
          <w:szCs w:val="32"/>
        </w:rPr>
      </w:pPr>
      <w:bookmarkStart w:id="46" w:name="_Toc10347"/>
      <w:bookmarkStart w:id="47" w:name="_Toc14869"/>
      <w:r>
        <w:rPr>
          <w:rFonts w:ascii="黑体" w:eastAsia="黑体" w:hAnsi="黑体" w:cs="宋体" w:hint="eastAsia"/>
          <w:bCs/>
          <w:kern w:val="0"/>
          <w:sz w:val="32"/>
          <w:szCs w:val="32"/>
        </w:rPr>
        <w:t>五、《一般公共预算财政拨款支出决算表》</w:t>
      </w:r>
      <w:bookmarkEnd w:id="46"/>
      <w:bookmarkEnd w:id="47"/>
    </w:p>
    <w:p w14:paraId="4311D09D" w14:textId="77777777" w:rsidR="008853A8" w:rsidRDefault="008853A8">
      <w:pPr>
        <w:ind w:firstLineChars="200" w:firstLine="640"/>
        <w:outlineLvl w:val="1"/>
        <w:rPr>
          <w:rFonts w:ascii="黑体" w:eastAsia="黑体" w:hAnsi="黑体" w:cs="宋体"/>
          <w:bCs/>
          <w:kern w:val="0"/>
          <w:sz w:val="32"/>
          <w:szCs w:val="32"/>
        </w:rPr>
      </w:pPr>
      <w:bookmarkStart w:id="48" w:name="_Toc5626"/>
      <w:bookmarkStart w:id="49" w:name="_Toc8884"/>
      <w:r>
        <w:rPr>
          <w:rFonts w:ascii="黑体" w:eastAsia="黑体" w:hAnsi="黑体" w:cs="宋体" w:hint="eastAsia"/>
          <w:bCs/>
          <w:kern w:val="0"/>
          <w:sz w:val="32"/>
          <w:szCs w:val="32"/>
        </w:rPr>
        <w:t>六、《一般公共预算财政拨款基本支出决算表》</w:t>
      </w:r>
      <w:bookmarkEnd w:id="48"/>
      <w:bookmarkEnd w:id="49"/>
    </w:p>
    <w:p w14:paraId="1D7CDCF2" w14:textId="77777777" w:rsidR="008853A8" w:rsidRDefault="008853A8">
      <w:pPr>
        <w:ind w:firstLineChars="200" w:firstLine="640"/>
        <w:outlineLvl w:val="1"/>
        <w:rPr>
          <w:rFonts w:ascii="黑体" w:eastAsia="黑体" w:hAnsi="黑体" w:cs="宋体"/>
          <w:bCs/>
          <w:kern w:val="0"/>
          <w:sz w:val="32"/>
          <w:szCs w:val="32"/>
        </w:rPr>
      </w:pPr>
      <w:bookmarkStart w:id="50" w:name="_Toc32663"/>
      <w:bookmarkStart w:id="51" w:name="_Toc29106"/>
      <w:r>
        <w:rPr>
          <w:rFonts w:ascii="黑体" w:eastAsia="黑体" w:hAnsi="黑体" w:cs="宋体" w:hint="eastAsia"/>
          <w:bCs/>
          <w:kern w:val="0"/>
          <w:sz w:val="32"/>
          <w:szCs w:val="32"/>
        </w:rPr>
        <w:t>七、《一般公共预算财政拨款“三公”经费支出决算表》</w:t>
      </w:r>
      <w:bookmarkEnd w:id="50"/>
      <w:bookmarkEnd w:id="51"/>
    </w:p>
    <w:p w14:paraId="5A34F572" w14:textId="77777777" w:rsidR="008853A8" w:rsidRDefault="008853A8">
      <w:pPr>
        <w:ind w:firstLineChars="200" w:firstLine="640"/>
        <w:outlineLvl w:val="1"/>
        <w:rPr>
          <w:rFonts w:ascii="黑体" w:eastAsia="黑体" w:hAnsi="黑体" w:cs="宋体"/>
          <w:bCs/>
          <w:kern w:val="0"/>
          <w:sz w:val="32"/>
          <w:szCs w:val="32"/>
        </w:rPr>
      </w:pPr>
      <w:bookmarkStart w:id="52" w:name="_Toc5453"/>
      <w:bookmarkStart w:id="53" w:name="_Toc7643"/>
      <w:r>
        <w:rPr>
          <w:rFonts w:ascii="黑体" w:eastAsia="黑体" w:hAnsi="黑体" w:cs="宋体" w:hint="eastAsia"/>
          <w:bCs/>
          <w:kern w:val="0"/>
          <w:sz w:val="32"/>
          <w:szCs w:val="32"/>
        </w:rPr>
        <w:t>八、《政府性基金预算财政拨款收入支出决算表》</w:t>
      </w:r>
      <w:bookmarkEnd w:id="52"/>
      <w:bookmarkEnd w:id="53"/>
    </w:p>
    <w:sectPr w:rsidR="008853A8">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C45808" w14:textId="77777777" w:rsidR="0088099A" w:rsidRDefault="0088099A">
      <w:r>
        <w:separator/>
      </w:r>
    </w:p>
  </w:endnote>
  <w:endnote w:type="continuationSeparator" w:id="0">
    <w:p w14:paraId="1F226AA3" w14:textId="77777777" w:rsidR="0088099A" w:rsidRDefault="008809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2C3B13" w14:textId="7F39015E" w:rsidR="008853A8" w:rsidRDefault="004F1D2D">
    <w:pPr>
      <w:pStyle w:val="a4"/>
    </w:pPr>
    <w:r>
      <w:rPr>
        <w:noProof/>
      </w:rPr>
      <mc:AlternateContent>
        <mc:Choice Requires="wps">
          <w:drawing>
            <wp:anchor distT="0" distB="0" distL="114300" distR="114300" simplePos="0" relativeHeight="251657728" behindDoc="0" locked="0" layoutInCell="1" allowOverlap="1" wp14:anchorId="5D818AEF" wp14:editId="432F0E00">
              <wp:simplePos x="0" y="0"/>
              <wp:positionH relativeFrom="margin">
                <wp:align>center</wp:align>
              </wp:positionH>
              <wp:positionV relativeFrom="paragraph">
                <wp:posOffset>0</wp:posOffset>
              </wp:positionV>
              <wp:extent cx="1828800" cy="182880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D818AEF" id="_x0000_t202" coordsize="21600,21600" o:spt="202" path="m,l,21600r21600,l21600,xe">
              <v:stroke joinstyle="miter"/>
              <v:path gradientshapeok="t" o:connecttype="rect"/>
            </v:shapetype>
            <v:shape id="文本框 1" o:spid="_x0000_s1026" type="#_x0000_t202" style="position:absolute;margin-left:0;margin-top:0;width:2in;height:2in;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encV47QEAALYDAAAOAAAAZHJzL2Uyb0RvYy54bWysU82O0zAQviPxDpbvNGkPqIqarpZdFSEt P9LCAziOk1jEHmvsNikPAG/AiQt3nqvPwdhpyrJ7Q1yssT3+5ptvPm+uRtOzg0KvwZZ8ucg5U1ZC rW1b8k8fdy/WnPkgbC16sKrkR+X51fb5s83gCrWCDvpaISMQ64vBlbwLwRVZ5mWnjPALcMrSZQNo RKAttlmNYiB002erPH+ZDYC1Q5DKezq9nS75NuE3jZLhfdN4FVhfcuIW0oppreKabTeiaFG4Tssz DfEPLIzQlopeoG5FEGyP+gmU0RLBQxMWEkwGTaOlSj1QN8v8UTf3nXAq9ULieHeRyf8/WPnu8AGZ rml2nFlhaESn799OP36dfn5lyyjP4HxBWfeO8sL4CsaYGlv17g7kZ88s3HTCtuoaEYZOiZropZfZ g6cTjo8g1fAWaqoj9gES0NigiYCkBiN0GtPxMho1BiZjyfVqvc7pStLdvCF2mSjm5w59eK3AsBiU HGn2CV4c7nyYUueUWM3CTvd9mn9v/zogzHiS6EfGE/cwVuNZjgrqIzWCMNmJ7E9BB/iFs4GsVHJL Xuesf2NJiui6OcA5qOZAWEkPSx44m8KbMLlz71C3HeHOYl+TXDudGom6ThzOLMkcSYqzkaP7Hu5T 1p/vtv0NAAD//wMAUEsDBBQABgAIAAAAIQAMSvDu1gAAAAUBAAAPAAAAZHJzL2Rvd25yZXYueG1s TI9Ba8MwDIXvg/4Ho8Juq9MetpDFKaXQS2/rxmA3N1bjMFsOtpsm/37aGGwXoccTT9+rt5N3YsSY +kAK1qsCBFIbTE+dgrfXw0MJImVNRrtAqGDGBNtmcVfryoQbveB4yp3gEEqVVmBzHiopU2vR67QK AxJ7lxC9zixjJ03UNw73Tm6K4lF63RN/sHrAvcX283T1Cp6m94BDwj1+XMY22n4u3XFW6n457Z5B ZJzy3zF84zM6NMx0DlcySTgFXCT/TPY2Zcny/LvIppb/6ZsvAAAA//8DAFBLAQItABQABgAIAAAA IQC2gziS/gAAAOEBAAATAAAAAAAAAAAAAAAAAAAAAABbQ29udGVudF9UeXBlc10ueG1sUEsBAi0A FAAGAAgAAAAhADj9If/WAAAAlAEAAAsAAAAAAAAAAAAAAAAALwEAAF9yZWxzLy5yZWxzUEsBAi0A FAAGAAgAAAAhAB6dxXjtAQAAtgMAAA4AAAAAAAAAAAAAAAAALgIAAGRycy9lMm9Eb2MueG1sUEsB Ai0AFAAGAAgAAAAhAAxK8O7WAAAABQEAAA8AAAAAAAAAAAAAAAAARwQAAGRycy9kb3ducmV2Lnht bFBLBQYAAAAABAAEAPMAAABKBQAAAAA= " filled="f" stroked="f">
              <v:textbox style="mso-fit-shape-to-text:t" inset="0,0,0,0">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31E4CB" w14:textId="77777777" w:rsidR="0088099A" w:rsidRDefault="0088099A">
      <w:r>
        <w:separator/>
      </w:r>
    </w:p>
  </w:footnote>
  <w:footnote w:type="continuationSeparator" w:id="0">
    <w:p w14:paraId="30BF4204" w14:textId="77777777" w:rsidR="0088099A" w:rsidRDefault="008809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bordersDoNotSurroundHeader/>
  <w:bordersDoNotSurroundFooter/>
  <w:documentProtection w:enforcement="1" w:edit="comments" w:salt="ACBLRJ8kLP5i6CGYZM+Wbg==" w:hash="5O0qFf84bo/Z3vlrbIWATY01ZIY=" w:cryptSpinCount="100000" w:cryptAlgorithmType="typeAny" w:cryptAlgorithmClass="hash" w:cryptProviderType="rsaFull" w:cryptAlgorithmSid="4"/>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A4B19"/>
    <w:rsid w:val="002B072F"/>
    <w:rsid w:val="002B37DA"/>
    <w:rsid w:val="002B7A04"/>
    <w:rsid w:val="002D187F"/>
    <w:rsid w:val="002F1732"/>
    <w:rsid w:val="003106FF"/>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099A"/>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6644C"/>
    <w:rsid w:val="00D71F68"/>
    <w:rsid w:val="00D767F4"/>
    <w:rsid w:val="00DA07A0"/>
    <w:rsid w:val="00DB4A9A"/>
    <w:rsid w:val="00DB6F81"/>
    <w:rsid w:val="00DD3B82"/>
    <w:rsid w:val="00E02851"/>
    <w:rsid w:val="00E43F43"/>
    <w:rsid w:val="00E76594"/>
    <w:rsid w:val="00EA656B"/>
    <w:rsid w:val="00EB1FF2"/>
    <w:rsid w:val="00EB42AF"/>
    <w:rsid w:val="00EB49C8"/>
    <w:rsid w:val="00EE3598"/>
    <w:rsid w:val="00EE791B"/>
    <w:rsid w:val="00EF3292"/>
    <w:rsid w:val="00F040C7"/>
    <w:rsid w:val="00F04DC0"/>
    <w:rsid w:val="00F24BA1"/>
    <w:rsid w:val="00F45607"/>
    <w:rsid w:val="00F552F7"/>
    <w:rsid w:val="00F57EE2"/>
    <w:rsid w:val="00F67C07"/>
    <w:rsid w:val="00F777E1"/>
    <w:rsid w:val="00F80266"/>
    <w:rsid w:val="00F83E19"/>
    <w:rsid w:val="00FB3828"/>
    <w:rsid w:val="00FC7A52"/>
    <w:rsid w:val="00FE0761"/>
    <w:rsid w:val="00FF5166"/>
    <w:rsid w:val="0679277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131AF"/>
  <w15:chartTrackingRefBased/>
  <w15:docId w15:val="{7A89F94D-944E-49B7-A5B0-21D8D0FEA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2">
    <w:name w:val="toc 2"/>
    <w:basedOn w:val="a"/>
    <w:next w:val="a"/>
    <w:pPr>
      <w:ind w:leftChars="200" w:left="420"/>
    </w:pPr>
  </w:style>
  <w:style w:type="paragraph" w:styleId="TOC1">
    <w:name w:val="toc 1"/>
    <w:basedOn w:val="a"/>
    <w:next w:val="a"/>
  </w:style>
  <w:style w:type="paragraph" w:styleId="a3">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3">
    <w:name w:val="toc 3"/>
    <w:basedOn w:val="a"/>
    <w:next w:val="a"/>
    <w:pPr>
      <w:ind w:leftChars="400" w:left="840"/>
    </w:pPr>
  </w:style>
  <w:style w:type="paragraph" w:styleId="a4">
    <w:name w:val="footer"/>
    <w:basedOn w:val="a"/>
    <w:pPr>
      <w:tabs>
        <w:tab w:val="center" w:pos="4153"/>
        <w:tab w:val="right" w:pos="8306"/>
      </w:tabs>
      <w:snapToGrid w:val="0"/>
      <w:jc w:val="left"/>
    </w:pPr>
    <w:rPr>
      <w:sz w:val="18"/>
    </w:rPr>
  </w:style>
  <w:style w:type="paragraph" w:styleId="a5">
    <w:name w:val="annotation text"/>
    <w:basedOn w:val="a"/>
    <w:pPr>
      <w:jc w:val="left"/>
    </w:pPr>
  </w:style>
  <w:style w:type="paragraph" w:customStyle="1" w:styleId="WPSOffice3">
    <w:name w:val="WPSOffice手动目录 3"/>
    <w:pPr>
      <w:ind w:leftChars="400" w:left="400"/>
    </w:pPr>
  </w:style>
  <w:style w:type="paragraph" w:customStyle="1" w:styleId="WPSOffice2">
    <w:name w:val="WPSOffice手动目录 2"/>
    <w:pPr>
      <w:ind w:leftChars="200" w:left="200"/>
    </w:pPr>
  </w:style>
  <w:style w:type="paragraph" w:customStyle="1" w:styleId="WPSOffice1">
    <w:name w:val="WPSOffice手动目录 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381100">
      <w:bodyDiv w:val="1"/>
      <w:marLeft w:val="0"/>
      <w:marRight w:val="0"/>
      <w:marTop w:val="0"/>
      <w:marBottom w:val="0"/>
      <w:divBdr>
        <w:top w:val="none" w:sz="0" w:space="0" w:color="auto"/>
        <w:left w:val="none" w:sz="0" w:space="0" w:color="auto"/>
        <w:bottom w:val="none" w:sz="0" w:space="0" w:color="auto"/>
        <w:right w:val="none" w:sz="0" w:space="0" w:color="auto"/>
      </w:divBdr>
    </w:div>
    <w:div w:id="726150857">
      <w:bodyDiv w:val="1"/>
      <w:marLeft w:val="0"/>
      <w:marRight w:val="0"/>
      <w:marTop w:val="0"/>
      <w:marBottom w:val="0"/>
      <w:divBdr>
        <w:top w:val="none" w:sz="0" w:space="0" w:color="auto"/>
        <w:left w:val="none" w:sz="0" w:space="0" w:color="auto"/>
        <w:bottom w:val="none" w:sz="0" w:space="0" w:color="auto"/>
        <w:right w:val="none" w:sz="0" w:space="0" w:color="auto"/>
      </w:divBdr>
    </w:div>
    <w:div w:id="1085761621">
      <w:bodyDiv w:val="1"/>
      <w:marLeft w:val="0"/>
      <w:marRight w:val="0"/>
      <w:marTop w:val="0"/>
      <w:marBottom w:val="0"/>
      <w:divBdr>
        <w:top w:val="none" w:sz="0" w:space="0" w:color="auto"/>
        <w:left w:val="none" w:sz="0" w:space="0" w:color="auto"/>
        <w:bottom w:val="none" w:sz="0" w:space="0" w:color="auto"/>
        <w:right w:val="none" w:sz="0" w:space="0" w:color="auto"/>
      </w:divBdr>
    </w:div>
    <w:div w:id="1572694809">
      <w:bodyDiv w:val="1"/>
      <w:marLeft w:val="0"/>
      <w:marRight w:val="0"/>
      <w:marTop w:val="0"/>
      <w:marBottom w:val="0"/>
      <w:divBdr>
        <w:top w:val="none" w:sz="0" w:space="0" w:color="auto"/>
        <w:left w:val="none" w:sz="0" w:space="0" w:color="auto"/>
        <w:bottom w:val="none" w:sz="0" w:space="0" w:color="auto"/>
        <w:right w:val="none" w:sz="0" w:space="0" w:color="auto"/>
      </w:divBdr>
    </w:div>
    <w:div w:id="1814247851">
      <w:bodyDiv w:val="1"/>
      <w:marLeft w:val="0"/>
      <w:marRight w:val="0"/>
      <w:marTop w:val="0"/>
      <w:marBottom w:val="0"/>
      <w:divBdr>
        <w:top w:val="none" w:sz="0" w:space="0" w:color="auto"/>
        <w:left w:val="none" w:sz="0" w:space="0" w:color="auto"/>
        <w:bottom w:val="none" w:sz="0" w:space="0" w:color="auto"/>
        <w:right w:val="none" w:sz="0" w:space="0" w:color="auto"/>
      </w:divBdr>
    </w:div>
    <w:div w:id="1847329340">
      <w:bodyDiv w:val="1"/>
      <w:marLeft w:val="0"/>
      <w:marRight w:val="0"/>
      <w:marTop w:val="0"/>
      <w:marBottom w:val="0"/>
      <w:divBdr>
        <w:top w:val="none" w:sz="0" w:space="0" w:color="auto"/>
        <w:left w:val="none" w:sz="0" w:space="0" w:color="auto"/>
        <w:bottom w:val="none" w:sz="0" w:space="0" w:color="auto"/>
        <w:right w:val="none" w:sz="0" w:space="0" w:color="auto"/>
      </w:divBdr>
    </w:div>
    <w:div w:id="1919709360">
      <w:bodyDiv w:val="1"/>
      <w:marLeft w:val="0"/>
      <w:marRight w:val="0"/>
      <w:marTop w:val="0"/>
      <w:marBottom w:val="0"/>
      <w:divBdr>
        <w:top w:val="none" w:sz="0" w:space="0" w:color="auto"/>
        <w:left w:val="none" w:sz="0" w:space="0" w:color="auto"/>
        <w:bottom w:val="none" w:sz="0" w:space="0" w:color="auto"/>
        <w:right w:val="none" w:sz="0" w:space="0" w:color="auto"/>
      </w:divBdr>
    </w:div>
    <w:div w:id="2019891532">
      <w:bodyDiv w:val="1"/>
      <w:marLeft w:val="0"/>
      <w:marRight w:val="0"/>
      <w:marTop w:val="0"/>
      <w:marBottom w:val="0"/>
      <w:divBdr>
        <w:top w:val="none" w:sz="0" w:space="0" w:color="auto"/>
        <w:left w:val="none" w:sz="0" w:space="0" w:color="auto"/>
        <w:bottom w:val="none" w:sz="0" w:space="0" w:color="auto"/>
        <w:right w:val="none" w:sz="0" w:space="0" w:color="auto"/>
      </w:divBdr>
    </w:div>
    <w:div w:id="2102601509">
      <w:bodyDiv w:val="1"/>
      <w:marLeft w:val="0"/>
      <w:marRight w:val="0"/>
      <w:marTop w:val="0"/>
      <w:marBottom w:val="0"/>
      <w:divBdr>
        <w:top w:val="none" w:sz="0" w:space="0" w:color="auto"/>
        <w:left w:val="none" w:sz="0" w:space="0" w:color="auto"/>
        <w:bottom w:val="none" w:sz="0" w:space="0" w:color="auto"/>
        <w:right w:val="none" w:sz="0" w:space="0" w:color="auto"/>
      </w:divBdr>
    </w:div>
    <w:div w:id="210819305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1031</Words>
  <Characters>5881</Characters>
  <Application>Microsoft Office Word</Application>
  <DocSecurity>0</DocSecurity>
  <Lines>49</Lines>
  <Paragraphs>13</Paragraphs>
  <ScaleCrop>false</ScaleCrop>
  <Company/>
  <LinksUpToDate>false</LinksUpToDate>
  <CharactersWithSpaces>6899</CharactersWithSpaces>
  <SharedDoc>false</SharedDoc>
  <HLinks>
    <vt:vector size="162" baseType="variant">
      <vt:variant>
        <vt:i4>1179699</vt:i4>
      </vt:variant>
      <vt:variant>
        <vt:i4>80</vt:i4>
      </vt:variant>
      <vt:variant>
        <vt:i4>0</vt:i4>
      </vt:variant>
      <vt:variant>
        <vt:i4>5</vt:i4>
      </vt:variant>
      <vt:variant>
        <vt:lpwstr/>
      </vt:variant>
      <vt:variant>
        <vt:lpwstr>_Toc7643</vt:lpwstr>
      </vt:variant>
      <vt:variant>
        <vt:i4>1966131</vt:i4>
      </vt:variant>
      <vt:variant>
        <vt:i4>77</vt:i4>
      </vt:variant>
      <vt:variant>
        <vt:i4>0</vt:i4>
      </vt:variant>
      <vt:variant>
        <vt:i4>5</vt:i4>
      </vt:variant>
      <vt:variant>
        <vt:lpwstr/>
      </vt:variant>
      <vt:variant>
        <vt:lpwstr>_Toc29106</vt:lpwstr>
      </vt:variant>
      <vt:variant>
        <vt:i4>1769520</vt:i4>
      </vt:variant>
      <vt:variant>
        <vt:i4>74</vt:i4>
      </vt:variant>
      <vt:variant>
        <vt:i4>0</vt:i4>
      </vt:variant>
      <vt:variant>
        <vt:i4>5</vt:i4>
      </vt:variant>
      <vt:variant>
        <vt:lpwstr/>
      </vt:variant>
      <vt:variant>
        <vt:lpwstr>_Toc8884</vt:lpwstr>
      </vt:variant>
      <vt:variant>
        <vt:i4>1376313</vt:i4>
      </vt:variant>
      <vt:variant>
        <vt:i4>71</vt:i4>
      </vt:variant>
      <vt:variant>
        <vt:i4>0</vt:i4>
      </vt:variant>
      <vt:variant>
        <vt:i4>5</vt:i4>
      </vt:variant>
      <vt:variant>
        <vt:lpwstr/>
      </vt:variant>
      <vt:variant>
        <vt:lpwstr>_Toc14869</vt:lpwstr>
      </vt:variant>
      <vt:variant>
        <vt:i4>1507381</vt:i4>
      </vt:variant>
      <vt:variant>
        <vt:i4>68</vt:i4>
      </vt:variant>
      <vt:variant>
        <vt:i4>0</vt:i4>
      </vt:variant>
      <vt:variant>
        <vt:i4>5</vt:i4>
      </vt:variant>
      <vt:variant>
        <vt:lpwstr/>
      </vt:variant>
      <vt:variant>
        <vt:lpwstr>_Toc28786</vt:lpwstr>
      </vt:variant>
      <vt:variant>
        <vt:i4>1441847</vt:i4>
      </vt:variant>
      <vt:variant>
        <vt:i4>65</vt:i4>
      </vt:variant>
      <vt:variant>
        <vt:i4>0</vt:i4>
      </vt:variant>
      <vt:variant>
        <vt:i4>5</vt:i4>
      </vt:variant>
      <vt:variant>
        <vt:lpwstr/>
      </vt:variant>
      <vt:variant>
        <vt:lpwstr>_Toc32434</vt:lpwstr>
      </vt:variant>
      <vt:variant>
        <vt:i4>1048631</vt:i4>
      </vt:variant>
      <vt:variant>
        <vt:i4>62</vt:i4>
      </vt:variant>
      <vt:variant>
        <vt:i4>0</vt:i4>
      </vt:variant>
      <vt:variant>
        <vt:i4>5</vt:i4>
      </vt:variant>
      <vt:variant>
        <vt:lpwstr/>
      </vt:variant>
      <vt:variant>
        <vt:lpwstr>_Toc24532</vt:lpwstr>
      </vt:variant>
      <vt:variant>
        <vt:i4>1376314</vt:i4>
      </vt:variant>
      <vt:variant>
        <vt:i4>59</vt:i4>
      </vt:variant>
      <vt:variant>
        <vt:i4>0</vt:i4>
      </vt:variant>
      <vt:variant>
        <vt:i4>5</vt:i4>
      </vt:variant>
      <vt:variant>
        <vt:lpwstr/>
      </vt:variant>
      <vt:variant>
        <vt:lpwstr>_Toc2183</vt:lpwstr>
      </vt:variant>
      <vt:variant>
        <vt:i4>1900597</vt:i4>
      </vt:variant>
      <vt:variant>
        <vt:i4>56</vt:i4>
      </vt:variant>
      <vt:variant>
        <vt:i4>0</vt:i4>
      </vt:variant>
      <vt:variant>
        <vt:i4>5</vt:i4>
      </vt:variant>
      <vt:variant>
        <vt:lpwstr/>
      </vt:variant>
      <vt:variant>
        <vt:lpwstr>_Toc22784</vt:lpwstr>
      </vt:variant>
      <vt:variant>
        <vt:i4>1376310</vt:i4>
      </vt:variant>
      <vt:variant>
        <vt:i4>53</vt:i4>
      </vt:variant>
      <vt:variant>
        <vt:i4>0</vt:i4>
      </vt:variant>
      <vt:variant>
        <vt:i4>5</vt:i4>
      </vt:variant>
      <vt:variant>
        <vt:lpwstr/>
      </vt:variant>
      <vt:variant>
        <vt:lpwstr>_Toc3250</vt:lpwstr>
      </vt:variant>
      <vt:variant>
        <vt:i4>1966131</vt:i4>
      </vt:variant>
      <vt:variant>
        <vt:i4>50</vt:i4>
      </vt:variant>
      <vt:variant>
        <vt:i4>0</vt:i4>
      </vt:variant>
      <vt:variant>
        <vt:i4>5</vt:i4>
      </vt:variant>
      <vt:variant>
        <vt:lpwstr/>
      </vt:variant>
      <vt:variant>
        <vt:lpwstr>_Toc11283</vt:lpwstr>
      </vt:variant>
      <vt:variant>
        <vt:i4>1376305</vt:i4>
      </vt:variant>
      <vt:variant>
        <vt:i4>47</vt:i4>
      </vt:variant>
      <vt:variant>
        <vt:i4>0</vt:i4>
      </vt:variant>
      <vt:variant>
        <vt:i4>5</vt:i4>
      </vt:variant>
      <vt:variant>
        <vt:lpwstr/>
      </vt:variant>
      <vt:variant>
        <vt:lpwstr>_Toc8391</vt:lpwstr>
      </vt:variant>
      <vt:variant>
        <vt:i4>2424834</vt:i4>
      </vt:variant>
      <vt:variant>
        <vt:i4>44</vt:i4>
      </vt:variant>
      <vt:variant>
        <vt:i4>0</vt:i4>
      </vt:variant>
      <vt:variant>
        <vt:i4>5</vt:i4>
      </vt:variant>
      <vt:variant>
        <vt:lpwstr/>
      </vt:variant>
      <vt:variant>
        <vt:lpwstr>_Toc227</vt:lpwstr>
      </vt:variant>
      <vt:variant>
        <vt:i4>1179700</vt:i4>
      </vt:variant>
      <vt:variant>
        <vt:i4>41</vt:i4>
      </vt:variant>
      <vt:variant>
        <vt:i4>0</vt:i4>
      </vt:variant>
      <vt:variant>
        <vt:i4>5</vt:i4>
      </vt:variant>
      <vt:variant>
        <vt:lpwstr/>
      </vt:variant>
      <vt:variant>
        <vt:lpwstr>_Toc14519</vt:lpwstr>
      </vt:variant>
      <vt:variant>
        <vt:i4>1048626</vt:i4>
      </vt:variant>
      <vt:variant>
        <vt:i4>38</vt:i4>
      </vt:variant>
      <vt:variant>
        <vt:i4>0</vt:i4>
      </vt:variant>
      <vt:variant>
        <vt:i4>5</vt:i4>
      </vt:variant>
      <vt:variant>
        <vt:lpwstr/>
      </vt:variant>
      <vt:variant>
        <vt:lpwstr>_Toc1235</vt:lpwstr>
      </vt:variant>
      <vt:variant>
        <vt:i4>2031668</vt:i4>
      </vt:variant>
      <vt:variant>
        <vt:i4>35</vt:i4>
      </vt:variant>
      <vt:variant>
        <vt:i4>0</vt:i4>
      </vt:variant>
      <vt:variant>
        <vt:i4>5</vt:i4>
      </vt:variant>
      <vt:variant>
        <vt:lpwstr/>
      </vt:variant>
      <vt:variant>
        <vt:lpwstr>_Toc5810</vt:lpwstr>
      </vt:variant>
      <vt:variant>
        <vt:i4>1507383</vt:i4>
      </vt:variant>
      <vt:variant>
        <vt:i4>32</vt:i4>
      </vt:variant>
      <vt:variant>
        <vt:i4>0</vt:i4>
      </vt:variant>
      <vt:variant>
        <vt:i4>5</vt:i4>
      </vt:variant>
      <vt:variant>
        <vt:lpwstr/>
      </vt:variant>
      <vt:variant>
        <vt:lpwstr>_Toc21518</vt:lpwstr>
      </vt:variant>
      <vt:variant>
        <vt:i4>1048635</vt:i4>
      </vt:variant>
      <vt:variant>
        <vt:i4>29</vt:i4>
      </vt:variant>
      <vt:variant>
        <vt:i4>0</vt:i4>
      </vt:variant>
      <vt:variant>
        <vt:i4>5</vt:i4>
      </vt:variant>
      <vt:variant>
        <vt:lpwstr/>
      </vt:variant>
      <vt:variant>
        <vt:lpwstr>_Toc30870</vt:lpwstr>
      </vt:variant>
      <vt:variant>
        <vt:i4>1114161</vt:i4>
      </vt:variant>
      <vt:variant>
        <vt:i4>26</vt:i4>
      </vt:variant>
      <vt:variant>
        <vt:i4>0</vt:i4>
      </vt:variant>
      <vt:variant>
        <vt:i4>5</vt:i4>
      </vt:variant>
      <vt:variant>
        <vt:lpwstr/>
      </vt:variant>
      <vt:variant>
        <vt:lpwstr>_Toc20360</vt:lpwstr>
      </vt:variant>
      <vt:variant>
        <vt:i4>1507383</vt:i4>
      </vt:variant>
      <vt:variant>
        <vt:i4>23</vt:i4>
      </vt:variant>
      <vt:variant>
        <vt:i4>0</vt:i4>
      </vt:variant>
      <vt:variant>
        <vt:i4>5</vt:i4>
      </vt:variant>
      <vt:variant>
        <vt:lpwstr/>
      </vt:variant>
      <vt:variant>
        <vt:lpwstr>_Toc26564</vt:lpwstr>
      </vt:variant>
      <vt:variant>
        <vt:i4>1310771</vt:i4>
      </vt:variant>
      <vt:variant>
        <vt:i4>20</vt:i4>
      </vt:variant>
      <vt:variant>
        <vt:i4>0</vt:i4>
      </vt:variant>
      <vt:variant>
        <vt:i4>5</vt:i4>
      </vt:variant>
      <vt:variant>
        <vt:lpwstr/>
      </vt:variant>
      <vt:variant>
        <vt:lpwstr>_Toc13201</vt:lpwstr>
      </vt:variant>
      <vt:variant>
        <vt:i4>1114160</vt:i4>
      </vt:variant>
      <vt:variant>
        <vt:i4>17</vt:i4>
      </vt:variant>
      <vt:variant>
        <vt:i4>0</vt:i4>
      </vt:variant>
      <vt:variant>
        <vt:i4>5</vt:i4>
      </vt:variant>
      <vt:variant>
        <vt:lpwstr/>
      </vt:variant>
      <vt:variant>
        <vt:lpwstr>_Toc12142</vt:lpwstr>
      </vt:variant>
      <vt:variant>
        <vt:i4>1245233</vt:i4>
      </vt:variant>
      <vt:variant>
        <vt:i4>14</vt:i4>
      </vt:variant>
      <vt:variant>
        <vt:i4>0</vt:i4>
      </vt:variant>
      <vt:variant>
        <vt:i4>5</vt:i4>
      </vt:variant>
      <vt:variant>
        <vt:lpwstr/>
      </vt:variant>
      <vt:variant>
        <vt:lpwstr>_Toc25314</vt:lpwstr>
      </vt:variant>
      <vt:variant>
        <vt:i4>1638449</vt:i4>
      </vt:variant>
      <vt:variant>
        <vt:i4>11</vt:i4>
      </vt:variant>
      <vt:variant>
        <vt:i4>0</vt:i4>
      </vt:variant>
      <vt:variant>
        <vt:i4>5</vt:i4>
      </vt:variant>
      <vt:variant>
        <vt:lpwstr/>
      </vt:variant>
      <vt:variant>
        <vt:lpwstr>_Toc29374</vt:lpwstr>
      </vt:variant>
      <vt:variant>
        <vt:i4>1507383</vt:i4>
      </vt:variant>
      <vt:variant>
        <vt:i4>8</vt:i4>
      </vt:variant>
      <vt:variant>
        <vt:i4>0</vt:i4>
      </vt:variant>
      <vt:variant>
        <vt:i4>5</vt:i4>
      </vt:variant>
      <vt:variant>
        <vt:lpwstr/>
      </vt:variant>
      <vt:variant>
        <vt:lpwstr>_Toc2151</vt:lpwstr>
      </vt:variant>
      <vt:variant>
        <vt:i4>1114166</vt:i4>
      </vt:variant>
      <vt:variant>
        <vt:i4>5</vt:i4>
      </vt:variant>
      <vt:variant>
        <vt:i4>0</vt:i4>
      </vt:variant>
      <vt:variant>
        <vt:i4>5</vt:i4>
      </vt:variant>
      <vt:variant>
        <vt:lpwstr/>
      </vt:variant>
      <vt:variant>
        <vt:lpwstr>_Toc30567</vt:lpwstr>
      </vt:variant>
      <vt:variant>
        <vt:i4>1310768</vt:i4>
      </vt:variant>
      <vt:variant>
        <vt:i4>2</vt:i4>
      </vt:variant>
      <vt:variant>
        <vt:i4>0</vt:i4>
      </vt:variant>
      <vt:variant>
        <vt:i4>5</vt:i4>
      </vt:variant>
      <vt:variant>
        <vt:lpwstr/>
      </vt:variant>
      <vt:variant>
        <vt:lpwstr>_Toc32314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2020-09-08T14:04:00Z</dcterms:created>
  <dc:creator>GXR</dc:creator>
  <cp:lastModifiedBy>Wevil Dwyane</cp:lastModifiedBy>
  <dcterms:modified xsi:type="dcterms:W3CDTF">2020-09-23T11:32:00Z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