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新疆喀什地区麦盖提县镇人民政府2019年度部门决算公开说明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1、执行本级及上级国家行政机关的决定和命令。</w:t>
      </w:r>
    </w:p>
    <w:p>
      <w:pPr>
        <w:ind w:firstLine="480"/>
        <w:jc w:val="both"/>
      </w:pPr>
      <w:r>
        <w:rPr>
          <w:rFonts w:ascii="仿宋_GB2312" w:hAnsi="仿宋_GB2312" w:cs="仿宋_GB2312" w:eastAsia="仿宋_GB2312"/>
          <w:b w:val="false"/>
          <w:sz w:val="32"/>
        </w:rPr>
        <w:t>2、执行全镇的社会和经济发展计划、预算，管理本镇内的经济、教育、科技、文化、卫生、体育事业和财政、民政、治安、人民调解、安全生产监督管理、计划生育等行政工作。</w:t>
      </w:r>
    </w:p>
    <w:p>
      <w:pPr>
        <w:ind w:firstLine="480"/>
        <w:jc w:val="both"/>
      </w:pPr>
      <w:r>
        <w:rPr>
          <w:rFonts w:ascii="仿宋_GB2312" w:hAnsi="仿宋_GB2312" w:cs="仿宋_GB2312" w:eastAsia="仿宋_GB2312"/>
          <w:b w:val="false"/>
          <w:sz w:val="32"/>
        </w:rPr>
        <w:t>3、保护社会主义的全民财产和劳动群体集体所有财产，保护公民私人所有的合法财产，维护社会秩序，保障公民的人生权利、民主权利和其他权利。</w:t>
      </w:r>
    </w:p>
    <w:p>
      <w:pPr>
        <w:ind w:firstLine="480"/>
        <w:jc w:val="both"/>
      </w:pPr>
      <w:r>
        <w:rPr>
          <w:rFonts w:ascii="仿宋_GB2312" w:hAnsi="仿宋_GB2312" w:cs="仿宋_GB2312" w:eastAsia="仿宋_GB2312"/>
          <w:b w:val="false"/>
          <w:sz w:val="32"/>
        </w:rPr>
        <w:t>4、贯彻执行党和国家的优惠政策，保障少数民族的权利和尊重少数民族的风俗习惯，尊重民族宗教信仰，维护一切经济单位和个人的正当经济权益，取缔非法经济活动。</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新疆喀什地区麦盖提县镇人民政府2019年度，实有人数222人，其中：在职人员196人，离休人员0人，退休人员26人。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从部门决算单位构成看，新疆喀什地区麦盖提县镇人民政府部门决算包括：新疆喀什地区麦盖提县镇人民政府决算。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5,885.71万元，与上年相比，减少145.28万元，下降2.41%，主要原因是：非财政拨款项目资金较去年减少。本年支出5,937.01万元，与上年相比，减少42.68万元，下降0.71%，主要原因是：非财政拨款项目资金较去年减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2019年度本年收入5,885.71万元，其中：财政拨款收入5,668.24万元，占96.31%；上级补助收入0万元，占0%；事业收入0万元，占0%；经营收入0万元，占0%；附属单位上缴收入0万元，占0%；其他收入217.47万元，占3.69%。</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2019年度本年支出5,937.01万元，其中：基本支出3,264.14万元，占54.98%；项目支出2,672.86万元，占45.02%；上缴上级支出0万元，占0%；经营支出0万元，占0%；对附属单位补助支出0万元，占0%。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5,668.24万元，与上年相比，增加829.55万元，增长17.14%，主要原因是：上级专项资金较去年增加。财政拨款支出5,679.15万元，与上年相比，增加851.37万元，增长17.63%，主要原因是：上级专项资金较去年增加。</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3,384.83万元，决算数5,668.24万元，预决算差异率67.46%，主要原因是：年初预算只有本级项目以及预告知的项目，后期到达的部分专项资金通过预算追加下达，因此决算数大于年初预算数。财政拨款支出年初预算数3,384.83万元，决算数5,679.15万元，预决算差异率67.78%，主要原因是：年初预算只有本级项目以及预告知的项目，后期到达的部分专项资金通过预算追加下达，因此决算数大于年初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2019年度一般公共预算财政拨款支出5,667.17万元。按功能分类科目项级科目公开，其中：</w:t>
      </w:r>
    </w:p>
    <w:p>
      <w:pPr>
        <w:ind w:firstLine="480"/>
        <w:jc w:val="both"/>
      </w:pPr>
      <w:r>
        <w:rPr>
          <w:rFonts w:ascii="仿宋_GB2312" w:hAnsi="仿宋_GB2312" w:cs="仿宋_GB2312" w:eastAsia="仿宋_GB2312"/>
          <w:b w:val="false"/>
          <w:sz w:val="32"/>
        </w:rPr>
        <w:t xml:space="preserve">   2010301行政运行支出2,476.17万元；</w:t>
      </w:r>
    </w:p>
    <w:p>
      <w:pPr>
        <w:ind w:firstLine="480"/>
        <w:jc w:val="both"/>
      </w:pPr>
      <w:r>
        <w:rPr>
          <w:rFonts w:ascii="仿宋_GB2312" w:hAnsi="仿宋_GB2312" w:cs="仿宋_GB2312" w:eastAsia="仿宋_GB2312"/>
          <w:b w:val="false"/>
          <w:sz w:val="32"/>
        </w:rPr>
        <w:t xml:space="preserve">   2011001行政运行支出105.11万元；</w:t>
      </w:r>
    </w:p>
    <w:p>
      <w:pPr>
        <w:ind w:firstLine="480"/>
        <w:jc w:val="both"/>
      </w:pPr>
      <w:r>
        <w:rPr>
          <w:rFonts w:ascii="仿宋_GB2312" w:hAnsi="仿宋_GB2312" w:cs="仿宋_GB2312" w:eastAsia="仿宋_GB2312"/>
          <w:b w:val="false"/>
          <w:sz w:val="32"/>
        </w:rPr>
        <w:t xml:space="preserve">   2011199其他纪检监察事务支出6.35万元；</w:t>
      </w:r>
    </w:p>
    <w:p>
      <w:pPr>
        <w:ind w:firstLine="480"/>
        <w:jc w:val="both"/>
      </w:pPr>
      <w:r>
        <w:rPr>
          <w:rFonts w:ascii="仿宋_GB2312" w:hAnsi="仿宋_GB2312" w:cs="仿宋_GB2312" w:eastAsia="仿宋_GB2312"/>
          <w:b w:val="false"/>
          <w:sz w:val="32"/>
        </w:rPr>
        <w:t xml:space="preserve">   2013101行政运行支出123.90万元；</w:t>
      </w:r>
    </w:p>
    <w:p>
      <w:pPr>
        <w:ind w:firstLine="480"/>
        <w:jc w:val="both"/>
      </w:pPr>
      <w:r>
        <w:rPr>
          <w:rFonts w:ascii="仿宋_GB2312" w:hAnsi="仿宋_GB2312" w:cs="仿宋_GB2312" w:eastAsia="仿宋_GB2312"/>
          <w:b w:val="false"/>
          <w:sz w:val="32"/>
        </w:rPr>
        <w:t xml:space="preserve">   2013299其他组织事务支出492.14万元；</w:t>
      </w:r>
    </w:p>
    <w:p>
      <w:pPr>
        <w:ind w:firstLine="480"/>
        <w:jc w:val="both"/>
      </w:pPr>
      <w:r>
        <w:rPr>
          <w:rFonts w:ascii="仿宋_GB2312" w:hAnsi="仿宋_GB2312" w:cs="仿宋_GB2312" w:eastAsia="仿宋_GB2312"/>
          <w:b w:val="false"/>
          <w:sz w:val="32"/>
        </w:rPr>
        <w:t xml:space="preserve">   2013499其他统战事务支出43.09万元；</w:t>
      </w:r>
    </w:p>
    <w:p>
      <w:pPr>
        <w:ind w:firstLine="480"/>
        <w:jc w:val="both"/>
      </w:pPr>
      <w:r>
        <w:rPr>
          <w:rFonts w:ascii="仿宋_GB2312" w:hAnsi="仿宋_GB2312" w:cs="仿宋_GB2312" w:eastAsia="仿宋_GB2312"/>
          <w:b w:val="false"/>
          <w:sz w:val="32"/>
        </w:rPr>
        <w:t xml:space="preserve">   2040601行政运行支出9.98万元；</w:t>
      </w:r>
    </w:p>
    <w:p>
      <w:pPr>
        <w:ind w:firstLine="480"/>
        <w:jc w:val="both"/>
      </w:pPr>
      <w:r>
        <w:rPr>
          <w:rFonts w:ascii="仿宋_GB2312" w:hAnsi="仿宋_GB2312" w:cs="仿宋_GB2312" w:eastAsia="仿宋_GB2312"/>
          <w:b w:val="false"/>
          <w:sz w:val="32"/>
        </w:rPr>
        <w:t xml:space="preserve">   2049901其他公共安全支出755.61万元；</w:t>
      </w:r>
    </w:p>
    <w:p>
      <w:pPr>
        <w:ind w:firstLine="480"/>
        <w:jc w:val="both"/>
      </w:pPr>
      <w:r>
        <w:rPr>
          <w:rFonts w:ascii="仿宋_GB2312" w:hAnsi="仿宋_GB2312" w:cs="仿宋_GB2312" w:eastAsia="仿宋_GB2312"/>
          <w:b w:val="false"/>
          <w:sz w:val="32"/>
        </w:rPr>
        <w:t xml:space="preserve">   2050299其他普通教育支出5.40万元；</w:t>
      </w:r>
    </w:p>
    <w:p>
      <w:pPr>
        <w:ind w:firstLine="480"/>
        <w:jc w:val="both"/>
      </w:pPr>
      <w:r>
        <w:rPr>
          <w:rFonts w:ascii="仿宋_GB2312" w:hAnsi="仿宋_GB2312" w:cs="仿宋_GB2312" w:eastAsia="仿宋_GB2312"/>
          <w:b w:val="false"/>
          <w:sz w:val="32"/>
        </w:rPr>
        <w:t xml:space="preserve">   2070109群众文化支出35.24万元；</w:t>
      </w:r>
    </w:p>
    <w:p>
      <w:pPr>
        <w:ind w:firstLine="480"/>
        <w:jc w:val="both"/>
      </w:pPr>
      <w:r>
        <w:rPr>
          <w:rFonts w:ascii="仿宋_GB2312" w:hAnsi="仿宋_GB2312" w:cs="仿宋_GB2312" w:eastAsia="仿宋_GB2312"/>
          <w:b w:val="false"/>
          <w:sz w:val="32"/>
        </w:rPr>
        <w:t xml:space="preserve">   2070199其他文化和旅游支出5万元；</w:t>
      </w:r>
    </w:p>
    <w:p>
      <w:pPr>
        <w:ind w:firstLine="480"/>
        <w:jc w:val="both"/>
      </w:pPr>
      <w:r>
        <w:rPr>
          <w:rFonts w:ascii="仿宋_GB2312" w:hAnsi="仿宋_GB2312" w:cs="仿宋_GB2312" w:eastAsia="仿宋_GB2312"/>
          <w:b w:val="false"/>
          <w:sz w:val="32"/>
        </w:rPr>
        <w:t xml:space="preserve">   2080505机关事业单位基本养老保险缴费支出253.75万元；</w:t>
      </w:r>
    </w:p>
    <w:p>
      <w:pPr>
        <w:ind w:firstLine="480"/>
        <w:jc w:val="both"/>
      </w:pPr>
      <w:r>
        <w:rPr>
          <w:rFonts w:ascii="仿宋_GB2312" w:hAnsi="仿宋_GB2312" w:cs="仿宋_GB2312" w:eastAsia="仿宋_GB2312"/>
          <w:b w:val="false"/>
          <w:sz w:val="32"/>
        </w:rPr>
        <w:t xml:space="preserve">   2089901其他社会保障和就业支出396.60万元；</w:t>
      </w:r>
    </w:p>
    <w:p>
      <w:pPr>
        <w:ind w:firstLine="480"/>
        <w:jc w:val="both"/>
      </w:pPr>
      <w:r>
        <w:rPr>
          <w:rFonts w:ascii="仿宋_GB2312" w:hAnsi="仿宋_GB2312" w:cs="仿宋_GB2312" w:eastAsia="仿宋_GB2312"/>
          <w:b w:val="false"/>
          <w:sz w:val="32"/>
        </w:rPr>
        <w:t xml:space="preserve">   2100799其他计划生育事务支出68.91万元；</w:t>
      </w:r>
    </w:p>
    <w:p>
      <w:pPr>
        <w:ind w:firstLine="480"/>
        <w:jc w:val="both"/>
      </w:pPr>
      <w:r>
        <w:rPr>
          <w:rFonts w:ascii="仿宋_GB2312" w:hAnsi="仿宋_GB2312" w:cs="仿宋_GB2312" w:eastAsia="仿宋_GB2312"/>
          <w:b w:val="false"/>
          <w:sz w:val="32"/>
        </w:rPr>
        <w:t xml:space="preserve">   2120399其他城乡社区公共设施支出273.82万元；</w:t>
      </w:r>
    </w:p>
    <w:p>
      <w:pPr>
        <w:ind w:firstLine="480"/>
        <w:jc w:val="both"/>
      </w:pPr>
      <w:r>
        <w:rPr>
          <w:rFonts w:ascii="仿宋_GB2312" w:hAnsi="仿宋_GB2312" w:cs="仿宋_GB2312" w:eastAsia="仿宋_GB2312"/>
          <w:b w:val="false"/>
          <w:sz w:val="32"/>
        </w:rPr>
        <w:t xml:space="preserve">   2120501城乡社区环境卫生支出30万元；</w:t>
      </w:r>
    </w:p>
    <w:p>
      <w:pPr>
        <w:ind w:firstLine="480"/>
        <w:jc w:val="both"/>
      </w:pPr>
      <w:r>
        <w:rPr>
          <w:rFonts w:ascii="仿宋_GB2312" w:hAnsi="仿宋_GB2312" w:cs="仿宋_GB2312" w:eastAsia="仿宋_GB2312"/>
          <w:b w:val="false"/>
          <w:sz w:val="32"/>
        </w:rPr>
        <w:t xml:space="preserve">   2130106科技转化与推广服务支出6.72万元；</w:t>
      </w:r>
    </w:p>
    <w:p>
      <w:pPr>
        <w:ind w:firstLine="480"/>
        <w:jc w:val="both"/>
      </w:pPr>
      <w:r>
        <w:rPr>
          <w:rFonts w:ascii="仿宋_GB2312" w:hAnsi="仿宋_GB2312" w:cs="仿宋_GB2312" w:eastAsia="仿宋_GB2312"/>
          <w:b w:val="false"/>
          <w:sz w:val="32"/>
        </w:rPr>
        <w:t xml:space="preserve">   2130122农业生产支持补贴支出52.12万元；</w:t>
      </w:r>
    </w:p>
    <w:p>
      <w:pPr>
        <w:ind w:firstLine="480"/>
        <w:jc w:val="both"/>
      </w:pPr>
      <w:r>
        <w:rPr>
          <w:rFonts w:ascii="仿宋_GB2312" w:hAnsi="仿宋_GB2312" w:cs="仿宋_GB2312" w:eastAsia="仿宋_GB2312"/>
          <w:b w:val="false"/>
          <w:sz w:val="32"/>
        </w:rPr>
        <w:t xml:space="preserve">   2130152对高校毕业生到基层任职补助支出52.39万元；</w:t>
      </w:r>
    </w:p>
    <w:p>
      <w:pPr>
        <w:ind w:firstLine="480"/>
        <w:jc w:val="both"/>
      </w:pPr>
      <w:r>
        <w:rPr>
          <w:rFonts w:ascii="仿宋_GB2312" w:hAnsi="仿宋_GB2312" w:cs="仿宋_GB2312" w:eastAsia="仿宋_GB2312"/>
          <w:b w:val="false"/>
          <w:sz w:val="32"/>
        </w:rPr>
        <w:t xml:space="preserve">   2130701对村级一事一议的补助支出29.72万元；</w:t>
      </w:r>
    </w:p>
    <w:p>
      <w:pPr>
        <w:ind w:firstLine="480"/>
        <w:jc w:val="both"/>
      </w:pPr>
      <w:r>
        <w:rPr>
          <w:rFonts w:ascii="仿宋_GB2312" w:hAnsi="仿宋_GB2312" w:cs="仿宋_GB2312" w:eastAsia="仿宋_GB2312"/>
          <w:b w:val="false"/>
          <w:sz w:val="32"/>
        </w:rPr>
        <w:t xml:space="preserve">   2210106公共租赁住房支出50万元；</w:t>
      </w:r>
    </w:p>
    <w:p>
      <w:pPr>
        <w:ind w:firstLine="480"/>
        <w:jc w:val="both"/>
      </w:pPr>
      <w:r>
        <w:rPr>
          <w:rFonts w:ascii="仿宋_GB2312" w:hAnsi="仿宋_GB2312" w:cs="仿宋_GB2312" w:eastAsia="仿宋_GB2312"/>
          <w:b w:val="false"/>
          <w:sz w:val="32"/>
        </w:rPr>
        <w:t xml:space="preserve">   2210201住房公积金支出191.08万元；</w:t>
      </w:r>
    </w:p>
    <w:p>
      <w:pPr>
        <w:ind w:firstLine="480"/>
        <w:jc w:val="both"/>
      </w:pPr>
      <w:r>
        <w:rPr>
          <w:rFonts w:ascii="仿宋_GB2312" w:hAnsi="仿宋_GB2312" w:cs="仿宋_GB2312" w:eastAsia="仿宋_GB2312"/>
          <w:b w:val="false"/>
          <w:sz w:val="32"/>
        </w:rPr>
        <w:t xml:space="preserve">   2299901其他支出204.07万元。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2019年度一般公共预算财政拨款基本支出3,264.14万元，其中：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2,661万元，包括：基本工资、津贴补贴、奖金、绩效工资、机关事业单位基本养老保险缴费、职工基本医疗保险缴费、公务员医疗补助缴费、其他社会保障缴费、住房公积金、其他工资福利支出、退休费、抚恤金、生活补助、奖励金。</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公用经费603.14万元，包括：办公费、印刷费、手续费、水费、电费、邮电费、取暖费、差旅费、维修（护）费、租赁费、公务用车运行维护费。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5.16万元，比上年减少4.72万元，降低47.77%，主要原因是厉行节约，压缩“三公”经费开支。其中，因公出国（境）费支出0万元，占0%，比上年增加0万元，增长0%，主要原因是与上年相比无变动，与上年一致；公务用车购置及运行维护费支出5.16万元，占100%，比上年减少4.72万元，降低47.77%，主要原因是厉行节约，压缩“三公”经费开支；公务接待费支出0万元，占0%，比上年增加0万元，增长0%，主要原因是与上年相比无变动，与上年一致。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因公出国（境）费支出0万元，开支内容包括：预算未安排，无此项开支。单位全年安排的因公出国（境）团组0个，因公出国（境）0人次。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5.16万元，其中，公务用车购置费0万元，公务用车运行维护费5.16万元。公务用车运行维护费开支内容包括汽车油料、维护费、保险费、车辆年检费。公务用车购置数0辆，公务用车保有量6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公务接待费0万元，开支内容包括预算未安排，无此项开支。单位全年安排的国内公务接待0批次，0人次。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3.12万元，决算数5.16万元，预决算差异率65.38%，主要原因是：上级专项资金较去年增加，为开展专项业务活动，车辆使用频繁，燃油费增加，预算追加，因此决算数大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5.16万元，预决算差异率65.38%，主要原因是：上级专项资金较去年增加，为开展专项业务活动，车辆使用频繁，燃油费增加，预算追加，因此决算数大于年初预算数；公务接待费预算数0万元，决算数0万元，预决算差异率0%，主要原因是：预算未安排，也无相应支出，因此预决算无差异。</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2019年度政府性基金预算财政拨款收入11.98万元，与上年相比，增加5.98万元，增长99.67%，主要原因是：上级专项资金较去年增加。政府性基金预算支出11.98万元，与上年相比，增加5.98万元，增长99.67%，主要原因是：上级专项资金较去年增加。</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2019年度新疆喀什地区麦盖提县镇人民政府机关运行经费支出603.14万元，比上年增加271.46万元，增长81.84%，主要原因是今年脱贫任务加大，为做好脱贫攻坚工作，日常各项开支增加。</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2019年度政府采购支出总额160.37万元，其中：政府采购货物支出19.82万元、政府采购工程支出0万元、政府采购服务支出140.55万元。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授予中小企业合同金额21.23万元，占政府采购支出总额的13.24%，其中：授予小微企业合同金额21.23万元，占政府采购支出总额的13.24%。</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12,676.64（平方米），价值1,597.80万元。车辆6辆，价值46.16万元，其中：副部（省）级及以上领导用车0辆、主要领导干部用车0辆、机要通信用车0辆、应急保障用车0辆、执法执勤用车0辆、特种专业技术用车0辆、离退休干部用车0辆、其他用车6辆，其他用车主要是：一般公务用车2辆，巡逻车4辆；单位价值50万元以上通用设备0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5个，共涉及资金1434.22万元。预算绩效管理取得的成效：1、旭日园区工作经费项目：首先为园区的工作人员和住户提供了生活上的便利，更好的完成了工作，温暖的度过冬天，其次加强了旭日园区的规范管理和正常的日常运行；2、工作经费类项目：促进了各项综治工作高效、协调、健康的发展，促进了文化站的健康发展，丰富了社区干部的文化生活，使大家潜移默化中受到教育，学到技能知识，同步健全完善谈话室管理使用、录音录像资料刻录备份、突发事件应对、日常安全监管、“走读式”谈话及保密等各项工作制度规定，以制度促工作规范，充分发挥“农民夜校”教育培训和理论宣讲作用，真正使农民夜校接地气见实效，进一步充实了社区文化活动室的硬件条件，为社区更好地开展形式多样、喜闻乐见的群众文化活动创造了有力的条件，大力开展社区科普工作，提高居民的科技文化素质，形成“爱科学、讲科学、用科学”的良好气氛，进一步完善完善城镇计划生育技术免费服务功能，满足育龄妇女不断增长的计划生育优质服务需要。3、人员补贴类项目：镇政府日常事务支出，各项补贴工作高效、协调、健康、有序的发展；4、棚户区改造垃圾清运费项目：做好1.2.3.5.6.7社区的棚户区改造垃圾清运工作，对改造时形成的垃圾进行全面清理，提升了麦盖提镇各社区居民居住环境安全感、幸福感。5、公租房维修项目：做好墙面、暖气等基础设施的维修。发现的问题及原因：前期项目开展缓慢，导致了资金滞缓，影响了项目的进度。下一步改进措施：项目启动时同步做好档案的归纳与整理，及时整理、收集、汇总，健全档案资料。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2vsD21onWTu6jPiixyMvxw==" w:hash="E92irpzq3939Gvt4TyyWPZHrgQQ="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