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新疆喀什地区麦盖提县五一林场2019年度部门决算公开说明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1、促进经济发展。制定实施本乡经济发展规划，发展壮大农村集体经济，大力发展农村个体私营等非公有制经济，推进农村市场经济体系的建设，促进农民增收。</w:t>
      </w:r>
    </w:p>
    <w:p>
      <w:pPr>
        <w:ind w:firstLine="480"/>
        <w:jc w:val="both"/>
      </w:pPr>
      <w:r>
        <w:rPr>
          <w:rFonts w:ascii="仿宋_GB2312" w:hAnsi="仿宋_GB2312" w:cs="仿宋_GB2312" w:eastAsia="仿宋_GB2312"/>
          <w:b w:val="false"/>
          <w:sz w:val="32"/>
        </w:rPr>
        <w:t>2、保障社会安全。加强社会治安综合治理，综合协调平安建设工作，强化信访，调解工作，化解农村社会矛盾；抓好法制宣传和普法教育，增强干部群众的法制意识。</w:t>
      </w:r>
    </w:p>
    <w:p>
      <w:pPr>
        <w:ind w:firstLine="480"/>
        <w:jc w:val="both"/>
      </w:pPr>
      <w:r>
        <w:rPr>
          <w:rFonts w:ascii="仿宋_GB2312" w:hAnsi="仿宋_GB2312" w:cs="仿宋_GB2312" w:eastAsia="仿宋_GB2312"/>
          <w:b w:val="false"/>
          <w:sz w:val="32"/>
        </w:rPr>
        <w:t>3、加强社会管理。制度实施本乡社会发展规划，负责管理教育，文化，卫生，等社会事业和计划生育，配合上级有关部门做好。</w:t>
      </w:r>
    </w:p>
    <w:p>
      <w:pPr>
        <w:ind w:firstLine="480"/>
        <w:jc w:val="both"/>
      </w:pPr>
      <w:r>
        <w:rPr>
          <w:rFonts w:ascii="仿宋_GB2312" w:hAnsi="仿宋_GB2312" w:cs="仿宋_GB2312" w:eastAsia="仿宋_GB2312"/>
          <w:b w:val="false"/>
          <w:sz w:val="32"/>
        </w:rPr>
        <w:t>4、搞好公共服务。加强基础设施建设，发展农村社会公共事业和集体公益事业，鼓励和扶持社会力量举办为“三农”服务的公益性机构和经济实体。</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新疆喀什地区麦盖提县五一林场2019年度，实有人数4人，其中：在职人员4人，离休人员0人，退休人员0人。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从部门决算单位构成看，新疆喀什地区麦盖提县五一林场部门决算包括：新疆喀什地区麦盖提县五一林场决算。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980.05万元，与上年相比，增加888.45万元，增长969.92%，主要原因是：五一林场2018年12月份纳入全额预算事业单位，拨款只有1个月，2019年为全年拨款数。本年支出977.53万元，与上年相比，增加898.65万元，增长1139.26%，主要原因是：五一林场2018年12月份纳入全额预算事业单位，拨款只有1个月，2019年为全年拨款数。</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2019年度本年收入980.05万元，其中：财政拨款收入680.04万元，占69.39%；上级补助收入0万元，占0%；事业收入0万元，占0%；经营收入0万元，占0%；附属单位上缴收入0万元，占0%；其他收入300.01万元，占30.61%。</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2019年度本年支出977.53万元，其中：基本支出197.80万元，占20.23%；项目支出779.72万元，占79.76%；上缴上级支出0万元，占0%；经营支出0万元，占0%；对附属单位补助支出0万元，占0%。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680.04万元，与上年相比，增加620.35万元，增长1039.29%，主要原因是：五一林场2018年12月份纳入全额预算事业单位，拨款只有1个月，2019年为全年拨款数。财政拨款支出687.05万元，与上年相比，增加634.36万元，增长1203.95%，主要原因是：五一林场2018年12月份纳入全额预算事业单位，拨款只有1个月，2019年为全年拨款数。</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326.54万元，决算数680.04万元，预决算差异率108.26%，主要原因是：年初预算只有本级项目以及预告知的项目，后期到达的部分专项资金通过预算追加下达，因此决算数大于年初预算数。财政拨款支出年初预算数326.54万元，决算数687.05万元，预决算差异率110.4%，主要原因是：年初预算只有本级项目以及预告知的项目，后期到达的部分专项资金通过预算追加下达，因此决算数大于年初预算数。</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2019年度一般公共预算财政拨款支出686.50万元。按功能分类科目项级科目公开，其中：</w:t>
      </w:r>
    </w:p>
    <w:p>
      <w:pPr>
        <w:ind w:firstLine="480"/>
        <w:jc w:val="both"/>
      </w:pPr>
      <w:r>
        <w:rPr>
          <w:rFonts w:ascii="仿宋_GB2312" w:hAnsi="仿宋_GB2312" w:cs="仿宋_GB2312" w:eastAsia="仿宋_GB2312"/>
          <w:b w:val="false"/>
          <w:sz w:val="32"/>
        </w:rPr>
        <w:t xml:space="preserve">   2013299其他组织事务支出45.75万元；</w:t>
      </w:r>
    </w:p>
    <w:p>
      <w:pPr>
        <w:ind w:firstLine="480"/>
        <w:jc w:val="both"/>
      </w:pPr>
      <w:r>
        <w:rPr>
          <w:rFonts w:ascii="仿宋_GB2312" w:hAnsi="仿宋_GB2312" w:cs="仿宋_GB2312" w:eastAsia="仿宋_GB2312"/>
          <w:b w:val="false"/>
          <w:sz w:val="32"/>
        </w:rPr>
        <w:t xml:space="preserve">   2013499其他统战事务支出13.61万元；</w:t>
      </w:r>
    </w:p>
    <w:p>
      <w:pPr>
        <w:ind w:firstLine="480"/>
        <w:jc w:val="both"/>
      </w:pPr>
      <w:r>
        <w:rPr>
          <w:rFonts w:ascii="仿宋_GB2312" w:hAnsi="仿宋_GB2312" w:cs="仿宋_GB2312" w:eastAsia="仿宋_GB2312"/>
          <w:b w:val="false"/>
          <w:sz w:val="32"/>
        </w:rPr>
        <w:t xml:space="preserve">   2070199其他文化和旅游支出10万元；</w:t>
      </w:r>
    </w:p>
    <w:p>
      <w:pPr>
        <w:ind w:firstLine="480"/>
        <w:jc w:val="both"/>
      </w:pPr>
      <w:r>
        <w:rPr>
          <w:rFonts w:ascii="仿宋_GB2312" w:hAnsi="仿宋_GB2312" w:cs="仿宋_GB2312" w:eastAsia="仿宋_GB2312"/>
          <w:b w:val="false"/>
          <w:sz w:val="32"/>
        </w:rPr>
        <w:t xml:space="preserve">   2080505机关事业单位基本养老保险缴费支出4.43万元；</w:t>
      </w:r>
    </w:p>
    <w:p>
      <w:pPr>
        <w:ind w:firstLine="480"/>
        <w:jc w:val="both"/>
      </w:pPr>
      <w:r>
        <w:rPr>
          <w:rFonts w:ascii="仿宋_GB2312" w:hAnsi="仿宋_GB2312" w:cs="仿宋_GB2312" w:eastAsia="仿宋_GB2312"/>
          <w:b w:val="false"/>
          <w:sz w:val="32"/>
        </w:rPr>
        <w:t xml:space="preserve">   2089901其他社会保障和就业支出9.86万元；</w:t>
      </w:r>
    </w:p>
    <w:p>
      <w:pPr>
        <w:ind w:firstLine="480"/>
        <w:jc w:val="both"/>
      </w:pPr>
      <w:r>
        <w:rPr>
          <w:rFonts w:ascii="仿宋_GB2312" w:hAnsi="仿宋_GB2312" w:cs="仿宋_GB2312" w:eastAsia="仿宋_GB2312"/>
          <w:b w:val="false"/>
          <w:sz w:val="32"/>
        </w:rPr>
        <w:t xml:space="preserve">   2100799其他计划生育事务支出0.50万元；</w:t>
      </w:r>
    </w:p>
    <w:p>
      <w:pPr>
        <w:ind w:firstLine="480"/>
        <w:jc w:val="both"/>
      </w:pPr>
      <w:r>
        <w:rPr>
          <w:rFonts w:ascii="仿宋_GB2312" w:hAnsi="仿宋_GB2312" w:cs="仿宋_GB2312" w:eastAsia="仿宋_GB2312"/>
          <w:b w:val="false"/>
          <w:sz w:val="32"/>
        </w:rPr>
        <w:t xml:space="preserve">   2130152对高校毕业生到基层任职补助支出7.78万元；</w:t>
      </w:r>
    </w:p>
    <w:p>
      <w:pPr>
        <w:ind w:firstLine="480"/>
        <w:jc w:val="both"/>
      </w:pPr>
      <w:r>
        <w:rPr>
          <w:rFonts w:ascii="仿宋_GB2312" w:hAnsi="仿宋_GB2312" w:cs="仿宋_GB2312" w:eastAsia="仿宋_GB2312"/>
          <w:b w:val="false"/>
          <w:sz w:val="32"/>
        </w:rPr>
        <w:t xml:space="preserve">   2130204事业机构支出189.39万元；</w:t>
      </w:r>
    </w:p>
    <w:p>
      <w:pPr>
        <w:ind w:firstLine="480"/>
        <w:jc w:val="both"/>
      </w:pPr>
      <w:r>
        <w:rPr>
          <w:rFonts w:ascii="仿宋_GB2312" w:hAnsi="仿宋_GB2312" w:cs="仿宋_GB2312" w:eastAsia="仿宋_GB2312"/>
          <w:b w:val="false"/>
          <w:sz w:val="32"/>
        </w:rPr>
        <w:t xml:space="preserve">   2130299其他林业和草原支出5万元；</w:t>
      </w:r>
    </w:p>
    <w:p>
      <w:pPr>
        <w:ind w:firstLine="480"/>
        <w:jc w:val="both"/>
      </w:pPr>
      <w:r>
        <w:rPr>
          <w:rFonts w:ascii="仿宋_GB2312" w:hAnsi="仿宋_GB2312" w:cs="仿宋_GB2312" w:eastAsia="仿宋_GB2312"/>
          <w:b w:val="false"/>
          <w:sz w:val="32"/>
        </w:rPr>
        <w:t xml:space="preserve">   2130505生产发展支出2.65万元；</w:t>
      </w:r>
    </w:p>
    <w:p>
      <w:pPr>
        <w:ind w:firstLine="480"/>
        <w:jc w:val="both"/>
      </w:pPr>
      <w:r>
        <w:rPr>
          <w:rFonts w:ascii="仿宋_GB2312" w:hAnsi="仿宋_GB2312" w:cs="仿宋_GB2312" w:eastAsia="仿宋_GB2312"/>
          <w:b w:val="false"/>
          <w:sz w:val="32"/>
        </w:rPr>
        <w:t xml:space="preserve">   2130701对村级一事一议的补助支出11.98万元；</w:t>
      </w:r>
    </w:p>
    <w:p>
      <w:pPr>
        <w:ind w:firstLine="480"/>
        <w:jc w:val="both"/>
      </w:pPr>
      <w:r>
        <w:rPr>
          <w:rFonts w:ascii="仿宋_GB2312" w:hAnsi="仿宋_GB2312" w:cs="仿宋_GB2312" w:eastAsia="仿宋_GB2312"/>
          <w:b w:val="false"/>
          <w:sz w:val="32"/>
        </w:rPr>
        <w:t xml:space="preserve">   2130799其他农村综合改革支出73.73万元；</w:t>
      </w:r>
    </w:p>
    <w:p>
      <w:pPr>
        <w:ind w:firstLine="480"/>
        <w:jc w:val="both"/>
      </w:pPr>
      <w:r>
        <w:rPr>
          <w:rFonts w:ascii="仿宋_GB2312" w:hAnsi="仿宋_GB2312" w:cs="仿宋_GB2312" w:eastAsia="仿宋_GB2312"/>
          <w:b w:val="false"/>
          <w:sz w:val="32"/>
        </w:rPr>
        <w:t xml:space="preserve">   2139999其他农林水支出132.80万元；</w:t>
      </w:r>
    </w:p>
    <w:p>
      <w:pPr>
        <w:ind w:firstLine="480"/>
        <w:jc w:val="both"/>
      </w:pPr>
      <w:r>
        <w:rPr>
          <w:rFonts w:ascii="仿宋_GB2312" w:hAnsi="仿宋_GB2312" w:cs="仿宋_GB2312" w:eastAsia="仿宋_GB2312"/>
          <w:b w:val="false"/>
          <w:sz w:val="32"/>
        </w:rPr>
        <w:t xml:space="preserve">   2210105农村危房改造支出166.50万元；</w:t>
      </w:r>
    </w:p>
    <w:p>
      <w:pPr>
        <w:ind w:firstLine="480"/>
        <w:jc w:val="both"/>
      </w:pPr>
      <w:r>
        <w:rPr>
          <w:rFonts w:ascii="仿宋_GB2312" w:hAnsi="仿宋_GB2312" w:cs="仿宋_GB2312" w:eastAsia="仿宋_GB2312"/>
          <w:b w:val="false"/>
          <w:sz w:val="32"/>
        </w:rPr>
        <w:t xml:space="preserve">   2210201住房公积金支出3.98万元；</w:t>
      </w:r>
    </w:p>
    <w:p>
      <w:pPr>
        <w:ind w:firstLine="480"/>
        <w:jc w:val="both"/>
      </w:pPr>
      <w:r>
        <w:rPr>
          <w:rFonts w:ascii="仿宋_GB2312" w:hAnsi="仿宋_GB2312" w:cs="仿宋_GB2312" w:eastAsia="仿宋_GB2312"/>
          <w:b w:val="false"/>
          <w:sz w:val="32"/>
        </w:rPr>
        <w:t xml:space="preserve">   2299901其他支出8.54万元。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2019年度一般公共预算财政拨款基本支出197.80万元，其中：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人员经费78.93万元，包括：基本工资、津贴补贴、奖金、绩效工资、机关事业单位基本养老保险缴费、职工基本医疗保险缴费、其他社会保障缴费、住房公积金、其他工资福利支出。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公用经费118.88万元，包括：办公费、印刷费、咨询费、手续费、水费、电费、邮电费、取暖费、维修（护）费、租赁费、劳务费、委托业务费、公务用车运行维护费、其他交通费用。</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6.69万元，比上年增加6.69万元，增长100%，主要原因是五一林场2018年12月份纳入全额预算事业单位，拨款只有1个月，2019年为全年拨款数。其中，因公出国（境）费支出0万元，占0%，比上年增加0万元，增长0%，主要原因是与上年相比无变动，与上年一致；公务用车购置及运行维护费支出6.69万元，占100%，比上年增加6.69万元，增长100%，主要原因是五一林场2018年12月份纳入全额预算事业单位，拨款只有1个月，2019年为全年拨款数；公务接待费支出0万元，占0%，比上年增加0万元，增长0%，主要原因是与上年相比无变动，与上年一致。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因公出国（境）费支出0万元，开支内容包括：预算未安排，无此项支出。单位全年安排的因公出国（境）团组0个，因公出国（境）0人次。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6.69万元，其中，公务用车购置费0万元，公务用车运行维护费6.69万元。公务用车运行维护费开支内容包括汽车油料、维护费、保险费、车辆年检费。公务用车购置数0辆，公务用车保有量1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公务接待费0万元，开支内容包括预算未安排，无此项支出。单位全年安排的国内公务接待0批次，0人次。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1.56万元，决算数6.69万元，预决算差异率328.85%，主要原因是：财政专项资金增加，为保证专项业务活动的正常开展，预算追加，因此决算数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1.56万元，决算数6.69万元，预决算差异率328.85%，主要原因是：财政专项资金增加，为保证专项业务活动的正常开展，预算追加，因此决算数大于年初预算数；公务接待费预算数0万元，决算数0万元，预决算差异率0%，主要原因是：预算未安排，也无相应支出，因此预决算无差异。</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2019年度政府性基金预算财政拨款收入0.54万元，与上年相比，增加0.54万元，增长100%，主要原因是：18年无政府性基金项目，19年新增1个政府性基金项目。政府性基金预算支出0.54万元，与上年相比，增加0.54万元，增长100%，主要原因是：18年无政府性基金项目，19年新增1个政府性基金项目。</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新疆喀什地区麦盖提县五一林场日常公用经费118.88万元，比上年增加113.88万元，增长2277.6%，主要原因是五一林场2018年12月份纳入全额预算事业单位，拨款只有1个月，2019年为全年拨款数。</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2019年度政府采购支出总额10.08万元，其中：政府采购货物支出10.08万元、政府采购工程支出0万元、政府采购服务支出0万元。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授予中小企业合同金额10.08万元，占政府采购支出总额的100%，其中：授予小微企业合同金额10.08万元，占政府采购支出总额的100%。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567.22（平方米），价值31.72万元。车辆1辆，价值13.12万元，其中：副部（省）级及以上领导用车0辆、主要领导干部用车0辆、机要通信用车0辆、应急保障用车0辆、执法执勤用车0辆、特种专业技术用车0辆、离退休干部用车0辆、其他用车1辆，其他用车主要是：一般公务用车；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个，共涉及资金11.9805万元。预算绩效管理取得的成效：2019年一事一议财政奖补资金：已为8个保障性住房小区路灯无法满足广大群众需求，在林场400户按装太阳能苹果灯，已完成安装， 项目已验收。发现的问题及原因：前期项目开展缓慢，导致了资金滞缓，影响了项目的进度。下一步改进措施：项目启动时同步做好档案的归纳与整理，及时整理、收集、汇总，健全档案资料。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1ytGuYdU5x92GFca7ffxrQ==" w:hash="xTbKODtov5zuPRz0frJi4pmwbMQ="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