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0"/>
          <w:szCs w:val="40"/>
        </w:rPr>
      </w:pPr>
      <w:bookmarkStart w:id="0" w:name="OLE_LINK1"/>
      <w:r>
        <w:rPr>
          <w:rFonts w:hint="eastAsia" w:ascii="方正小标宋_GBK" w:hAnsi="方正小标宋_GBK" w:eastAsia="方正小标宋_GBK" w:cs="方正小标宋_GBK"/>
          <w:b w:val="0"/>
          <w:bCs w:val="0"/>
          <w:color w:val="auto"/>
          <w:sz w:val="40"/>
          <w:szCs w:val="40"/>
          <w:lang w:eastAsia="zh-CN"/>
        </w:rPr>
        <w:t>麦盖提县县</w:t>
      </w:r>
      <w:r>
        <w:rPr>
          <w:rFonts w:hint="eastAsia" w:ascii="方正小标宋_GBK" w:hAnsi="方正小标宋_GBK" w:eastAsia="方正小标宋_GBK" w:cs="方正小标宋_GBK"/>
          <w:b w:val="0"/>
          <w:bCs w:val="0"/>
          <w:color w:val="auto"/>
          <w:sz w:val="40"/>
          <w:szCs w:val="40"/>
        </w:rPr>
        <w:t>属国有企业国有资本经营收益</w:t>
      </w:r>
    </w:p>
    <w:p>
      <w:pPr>
        <w:pStyle w:val="10"/>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0"/>
          <w:szCs w:val="40"/>
          <w:lang w:eastAsia="zh-CN"/>
        </w:rPr>
      </w:pPr>
      <w:r>
        <w:rPr>
          <w:rFonts w:hint="eastAsia" w:ascii="方正小标宋_GBK" w:hAnsi="方正小标宋_GBK" w:eastAsia="方正小标宋_GBK" w:cs="方正小标宋_GBK"/>
          <w:b w:val="0"/>
          <w:bCs w:val="0"/>
          <w:color w:val="auto"/>
          <w:sz w:val="40"/>
          <w:szCs w:val="40"/>
        </w:rPr>
        <w:t>收缴管理</w:t>
      </w:r>
      <w:r>
        <w:rPr>
          <w:rFonts w:hint="eastAsia" w:ascii="方正小标宋_GBK" w:hAnsi="方正小标宋_GBK" w:eastAsia="方正小标宋_GBK" w:cs="方正小标宋_GBK"/>
          <w:b w:val="0"/>
          <w:bCs w:val="0"/>
          <w:color w:val="auto"/>
          <w:sz w:val="40"/>
          <w:szCs w:val="40"/>
          <w:lang w:eastAsia="zh-CN"/>
        </w:rPr>
        <w:t>工作细则(</w:t>
      </w:r>
      <w:r>
        <w:rPr>
          <w:rFonts w:hint="eastAsia" w:ascii="方正小标宋_GBK" w:hAnsi="方正小标宋_GBK" w:eastAsia="方正小标宋_GBK" w:cs="方正小标宋_GBK"/>
          <w:b w:val="0"/>
          <w:bCs w:val="0"/>
          <w:color w:val="auto"/>
          <w:sz w:val="40"/>
          <w:szCs w:val="40"/>
          <w:lang w:val="en-US" w:eastAsia="zh-CN"/>
        </w:rPr>
        <w:t>草案试行</w:t>
      </w:r>
      <w:r>
        <w:rPr>
          <w:rFonts w:hint="eastAsia" w:ascii="方正小标宋_GBK" w:hAnsi="方正小标宋_GBK" w:eastAsia="方正小标宋_GBK" w:cs="方正小标宋_GBK"/>
          <w:b w:val="0"/>
          <w:bCs w:val="0"/>
          <w:color w:val="auto"/>
          <w:sz w:val="40"/>
          <w:szCs w:val="40"/>
          <w:lang w:eastAsia="zh-CN"/>
        </w:rPr>
        <w:t>）</w:t>
      </w:r>
      <w:bookmarkStart w:id="1" w:name="_GoBack"/>
      <w:bookmarkEnd w:id="1"/>
    </w:p>
    <w:bookmarkEnd w:id="0"/>
    <w:p>
      <w:pPr>
        <w:pStyle w:val="10"/>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jc w:val="both"/>
        <w:textAlignment w:val="auto"/>
        <w:outlineLvl w:val="9"/>
        <w:rPr>
          <w:rFonts w:hint="eastAsia" w:ascii="黑体" w:hAnsi="黑体" w:eastAsia="黑体"/>
          <w:b w:val="0"/>
          <w:bCs w:val="0"/>
          <w:color w:val="auto"/>
          <w:sz w:val="32"/>
          <w:szCs w:val="32"/>
        </w:rPr>
      </w:pPr>
    </w:p>
    <w:p>
      <w:pPr>
        <w:keepNext w:val="0"/>
        <w:keepLines w:val="0"/>
        <w:pageBreakBefore w:val="0"/>
        <w:numPr>
          <w:ilvl w:val="0"/>
          <w:numId w:val="0"/>
        </w:numPr>
        <w:wordWrap/>
        <w:overflowPunct/>
        <w:topLinePunct w:val="0"/>
        <w:bidi w:val="0"/>
        <w:spacing w:line="57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第一条</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为规范和加强</w:t>
      </w:r>
      <w:r>
        <w:rPr>
          <w:rFonts w:hint="eastAsia" w:ascii="仿宋_GB2312" w:hAnsi="仿宋_GB2312" w:eastAsia="仿宋_GB2312" w:cs="仿宋_GB2312"/>
          <w:color w:val="auto"/>
          <w:sz w:val="32"/>
          <w:szCs w:val="32"/>
          <w:lang w:eastAsia="zh-CN"/>
        </w:rPr>
        <w:t>县属国</w:t>
      </w:r>
      <w:r>
        <w:rPr>
          <w:rFonts w:hint="eastAsia" w:ascii="仿宋_GB2312" w:hAnsi="仿宋_GB2312" w:eastAsia="仿宋_GB2312" w:cs="仿宋_GB2312"/>
          <w:color w:val="auto"/>
          <w:sz w:val="32"/>
          <w:szCs w:val="32"/>
        </w:rPr>
        <w:t>有企业国有资本经营收益收缴管理，根据《中华人民共和国预算法》、《中华人民共和国企业国有资产法》、《企业国有资产监督管理暂行条例》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新疆维吾尔自治区本级国有资本收益收取管理办法》（新财规〔2024〕6号）及</w:t>
      </w:r>
      <w:r>
        <w:rPr>
          <w:rFonts w:hint="eastAsia" w:ascii="仿宋_GB2312" w:hAnsi="仿宋_GB2312" w:eastAsia="仿宋_GB2312" w:cs="仿宋_GB2312"/>
          <w:color w:val="auto"/>
          <w:sz w:val="32"/>
          <w:szCs w:val="32"/>
          <w:lang w:eastAsia="zh-CN"/>
        </w:rPr>
        <w:t>地县</w:t>
      </w:r>
      <w:r>
        <w:rPr>
          <w:rFonts w:hint="eastAsia" w:ascii="仿宋_GB2312" w:hAnsi="仿宋_GB2312" w:eastAsia="仿宋_GB2312" w:cs="仿宋_GB2312"/>
          <w:color w:val="auto"/>
          <w:sz w:val="32"/>
          <w:szCs w:val="32"/>
        </w:rPr>
        <w:t>有关国有资本经营预算管理制度规定，结合</w:t>
      </w:r>
      <w:r>
        <w:rPr>
          <w:rFonts w:hint="eastAsia" w:ascii="仿宋_GB2312" w:hAnsi="仿宋_GB2312" w:eastAsia="仿宋_GB2312" w:cs="仿宋_GB2312"/>
          <w:color w:val="auto"/>
          <w:sz w:val="32"/>
          <w:szCs w:val="32"/>
          <w:lang w:eastAsia="zh-CN"/>
        </w:rPr>
        <w:t>我县</w:t>
      </w:r>
      <w:r>
        <w:rPr>
          <w:rFonts w:hint="eastAsia" w:ascii="仿宋_GB2312" w:hAnsi="仿宋_GB2312" w:eastAsia="仿宋_GB2312" w:cs="仿宋_GB2312"/>
          <w:color w:val="auto"/>
          <w:sz w:val="32"/>
          <w:szCs w:val="32"/>
        </w:rPr>
        <w:t>实际情况，制</w:t>
      </w:r>
      <w:r>
        <w:rPr>
          <w:rFonts w:hint="eastAsia" w:ascii="仿宋_GB2312" w:hAnsi="仿宋_GB2312" w:eastAsia="仿宋_GB2312" w:cs="仿宋_GB2312"/>
          <w:color w:val="auto"/>
          <w:sz w:val="32"/>
          <w:szCs w:val="32"/>
          <w:lang w:eastAsia="zh-CN"/>
        </w:rPr>
        <w:t>定本工作细则</w:t>
      </w:r>
      <w:r>
        <w:rPr>
          <w:rFonts w:hint="eastAsia" w:ascii="仿宋_GB2312" w:hAnsi="仿宋_GB2312" w:eastAsia="仿宋_GB2312" w:cs="仿宋_GB2312"/>
          <w:color w:val="auto"/>
          <w:sz w:val="32"/>
          <w:szCs w:val="32"/>
        </w:rPr>
        <w:t>。</w:t>
      </w:r>
    </w:p>
    <w:p>
      <w:pPr>
        <w:pStyle w:val="11"/>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黑体" w:hAnsi="黑体" w:eastAsia="仿宋_GB2312" w:cs="黑体"/>
          <w:color w:val="auto"/>
          <w:sz w:val="32"/>
          <w:szCs w:val="32"/>
          <w:lang w:eastAsia="zh-CN"/>
        </w:rPr>
      </w:pPr>
      <w:r>
        <w:rPr>
          <w:rFonts w:hint="eastAsia" w:ascii="黑体" w:hAnsi="黑体" w:eastAsia="黑体" w:cs="黑体"/>
          <w:color w:val="auto"/>
          <w:sz w:val="32"/>
          <w:szCs w:val="32"/>
        </w:rPr>
        <w:t xml:space="preserve">第二条  </w:t>
      </w:r>
      <w:r>
        <w:rPr>
          <w:rFonts w:hint="eastAsia" w:ascii="仿宋_GB2312" w:hAnsi="仿宋_GB2312" w:eastAsia="仿宋_GB2312" w:cs="仿宋_GB2312"/>
          <w:color w:val="auto"/>
          <w:sz w:val="32"/>
          <w:szCs w:val="32"/>
          <w:lang w:eastAsia="zh-CN"/>
        </w:rPr>
        <w:t>县属国</w:t>
      </w:r>
      <w:r>
        <w:rPr>
          <w:rFonts w:hint="eastAsia" w:ascii="仿宋_GB2312" w:hAnsi="仿宋_GB2312" w:eastAsia="仿宋_GB2312" w:cs="仿宋_GB2312"/>
          <w:color w:val="auto"/>
          <w:sz w:val="32"/>
          <w:szCs w:val="32"/>
        </w:rPr>
        <w:t>有企业</w:t>
      </w:r>
      <w:r>
        <w:rPr>
          <w:rFonts w:hint="eastAsia" w:ascii="仿宋_GB2312" w:hAnsi="仿宋_GB2312" w:eastAsia="仿宋_GB2312" w:cs="仿宋_GB2312"/>
          <w:color w:val="auto"/>
          <w:sz w:val="32"/>
          <w:szCs w:val="32"/>
          <w:lang w:eastAsia="zh-CN"/>
        </w:rPr>
        <w:t>应当按照本细则规定上交国有资本收益。</w:t>
      </w:r>
    </w:p>
    <w:p>
      <w:pPr>
        <w:pStyle w:val="11"/>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所称</w:t>
      </w:r>
      <w:r>
        <w:rPr>
          <w:rFonts w:hint="eastAsia" w:ascii="仿宋_GB2312" w:hAnsi="仿宋_GB2312" w:eastAsia="仿宋_GB2312" w:cs="仿宋_GB2312"/>
          <w:color w:val="auto"/>
          <w:sz w:val="32"/>
          <w:szCs w:val="32"/>
          <w:lang w:eastAsia="zh-CN"/>
        </w:rPr>
        <w:t>县属</w:t>
      </w:r>
      <w:r>
        <w:rPr>
          <w:rFonts w:hint="eastAsia" w:ascii="仿宋_GB2312" w:hAnsi="仿宋_GB2312" w:eastAsia="仿宋_GB2312" w:cs="仿宋_GB2312"/>
          <w:color w:val="auto"/>
          <w:sz w:val="32"/>
          <w:szCs w:val="32"/>
        </w:rPr>
        <w:t>国有企业，</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县财政局</w:t>
      </w:r>
      <w:r>
        <w:rPr>
          <w:rFonts w:hint="eastAsia" w:ascii="仿宋_GB2312" w:hAnsi="仿宋_GB2312" w:eastAsia="仿宋_GB2312" w:cs="仿宋_GB2312"/>
          <w:color w:val="auto"/>
          <w:sz w:val="32"/>
          <w:szCs w:val="32"/>
          <w:lang w:eastAsia="zh-CN"/>
        </w:rPr>
        <w:t>（国有资产监督管理委员会）或其他代表县人民政府履行出资人职责出资成立的国有</w:t>
      </w:r>
      <w:r>
        <w:rPr>
          <w:rFonts w:hint="eastAsia" w:ascii="仿宋_GB2312" w:hAnsi="仿宋_GB2312" w:eastAsia="仿宋_GB2312" w:cs="仿宋_GB2312"/>
          <w:color w:val="auto"/>
          <w:sz w:val="32"/>
          <w:szCs w:val="32"/>
        </w:rPr>
        <w:t>企业。</w:t>
      </w:r>
    </w:p>
    <w:p>
      <w:pPr>
        <w:pStyle w:val="11"/>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所称国有资本经营收益，是指国家以所有者身份依法从</w:t>
      </w:r>
      <w:r>
        <w:rPr>
          <w:rFonts w:hint="eastAsia" w:ascii="仿宋_GB2312" w:hAnsi="仿宋_GB2312" w:eastAsia="仿宋_GB2312" w:cs="仿宋_GB2312"/>
          <w:color w:val="auto"/>
          <w:sz w:val="32"/>
          <w:szCs w:val="32"/>
          <w:lang w:eastAsia="zh-CN"/>
        </w:rPr>
        <w:t>其出资成立的</w:t>
      </w:r>
      <w:r>
        <w:rPr>
          <w:rFonts w:hint="eastAsia" w:ascii="仿宋_GB2312" w:hAnsi="仿宋_GB2312" w:eastAsia="仿宋_GB2312" w:cs="仿宋_GB2312"/>
          <w:color w:val="auto"/>
          <w:sz w:val="32"/>
          <w:szCs w:val="32"/>
        </w:rPr>
        <w:t>企业取得的国有资本投资收益，具体包括:</w:t>
      </w:r>
    </w:p>
    <w:p>
      <w:pPr>
        <w:pStyle w:val="11"/>
        <w:keepNext w:val="0"/>
        <w:keepLines w:val="0"/>
        <w:pageBreakBefore w:val="0"/>
        <w:widowControl/>
        <w:kinsoku/>
        <w:wordWrap/>
        <w:overflowPunct/>
        <w:topLinePunct w:val="0"/>
        <w:autoSpaceDE/>
        <w:autoSpaceDN/>
        <w:bidi w:val="0"/>
        <w:adjustRightInd/>
        <w:snapToGrid/>
        <w:spacing w:line="57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净利润，即国有独资企业按照规定比例应当上交的年度净利润。</w:t>
      </w:r>
    </w:p>
    <w:p>
      <w:pPr>
        <w:pStyle w:val="11"/>
        <w:keepNext w:val="0"/>
        <w:keepLines w:val="0"/>
        <w:pageBreakBefore w:val="0"/>
        <w:widowControl/>
        <w:kinsoku/>
        <w:wordWrap/>
        <w:overflowPunct/>
        <w:topLinePunct w:val="0"/>
        <w:autoSpaceDE/>
        <w:autoSpaceDN/>
        <w:bidi w:val="0"/>
        <w:adjustRightInd/>
        <w:snapToGrid/>
        <w:spacing w:line="57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（二）国有股股息、红利，即国有控股企业、国有参股企业按董事会或股东会决议通过的利润分配方案，应付给国有股东的股息、红利收入。</w:t>
      </w:r>
    </w:p>
    <w:p>
      <w:pPr>
        <w:pStyle w:val="11"/>
        <w:keepNext w:val="0"/>
        <w:keepLines w:val="0"/>
        <w:pageBreakBefore w:val="0"/>
        <w:widowControl/>
        <w:kinsoku/>
        <w:wordWrap/>
        <w:overflowPunct/>
        <w:topLinePunct w:val="0"/>
        <w:autoSpaceDE/>
        <w:autoSpaceDN/>
        <w:bidi w:val="0"/>
        <w:adjustRightInd/>
        <w:snapToGrid/>
        <w:spacing w:line="57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（三）国有产（股）权转让收入，即</w:t>
      </w:r>
      <w:r>
        <w:rPr>
          <w:rFonts w:hint="eastAsia" w:ascii="仿宋_GB2312" w:hAnsi="仿宋_GB2312" w:eastAsia="仿宋_GB2312" w:cs="仿宋_GB2312"/>
          <w:color w:val="auto"/>
          <w:sz w:val="32"/>
          <w:szCs w:val="32"/>
          <w:lang w:eastAsia="zh-CN"/>
        </w:rPr>
        <w:t>转让</w:t>
      </w:r>
      <w:r>
        <w:rPr>
          <w:rFonts w:hint="eastAsia" w:ascii="仿宋_GB2312" w:hAnsi="仿宋_GB2312" w:eastAsia="仿宋_GB2312" w:cs="仿宋_GB2312"/>
          <w:color w:val="auto"/>
          <w:sz w:val="32"/>
          <w:szCs w:val="32"/>
        </w:rPr>
        <w:t>国有独资企业，国有控股、参股企业国有产（股）权获得的</w:t>
      </w:r>
      <w:r>
        <w:rPr>
          <w:rFonts w:hint="eastAsia" w:ascii="仿宋_GB2312" w:hAnsi="仿宋_GB2312" w:eastAsia="仿宋_GB2312" w:cs="仿宋_GB2312"/>
          <w:color w:val="auto"/>
          <w:sz w:val="32"/>
          <w:szCs w:val="32"/>
          <w:lang w:eastAsia="zh-CN"/>
        </w:rPr>
        <w:t>（扣除转让相关费用后）</w:t>
      </w:r>
      <w:r>
        <w:rPr>
          <w:rFonts w:hint="eastAsia" w:ascii="仿宋_GB2312" w:hAnsi="仿宋_GB2312" w:eastAsia="仿宋_GB2312" w:cs="仿宋_GB2312"/>
          <w:color w:val="auto"/>
          <w:sz w:val="32"/>
          <w:szCs w:val="32"/>
        </w:rPr>
        <w:t>净收益。</w:t>
      </w:r>
    </w:p>
    <w:p>
      <w:pPr>
        <w:pStyle w:val="11"/>
        <w:keepNext w:val="0"/>
        <w:keepLines w:val="0"/>
        <w:pageBreakBefore w:val="0"/>
        <w:widowControl/>
        <w:kinsoku/>
        <w:wordWrap/>
        <w:overflowPunct/>
        <w:topLinePunct w:val="0"/>
        <w:autoSpaceDE/>
        <w:autoSpaceDN/>
        <w:bidi w:val="0"/>
        <w:adjustRightInd/>
        <w:snapToGrid/>
        <w:spacing w:line="570" w:lineRule="exact"/>
        <w:ind w:left="0" w:leftChars="0"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（四）企业清算收入，即包括</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一是国有独资企业清算（扣除清算费用后）净收入；二是按照国有股权（股份）比例应分得国有控股企业、国有参股企业清算（扣除清算费用后）净收入。</w:t>
      </w:r>
    </w:p>
    <w:p>
      <w:pPr>
        <w:pStyle w:val="11"/>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县人民</w:t>
      </w:r>
      <w:r>
        <w:rPr>
          <w:rFonts w:hint="eastAsia" w:ascii="仿宋_GB2312" w:hAnsi="仿宋_GB2312" w:eastAsia="仿宋_GB2312" w:cs="仿宋_GB2312"/>
          <w:color w:val="auto"/>
          <w:sz w:val="32"/>
          <w:szCs w:val="32"/>
          <w:highlight w:val="none"/>
        </w:rPr>
        <w:t>政府决定收缴的其他国有资产收益</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即包括</w:t>
      </w:r>
      <w:r>
        <w:rPr>
          <w:rFonts w:hint="eastAsia" w:ascii="仿宋_GB2312" w:hAnsi="仿宋_GB2312" w:eastAsia="仿宋_GB2312" w:cs="仿宋_GB2312"/>
          <w:color w:val="auto"/>
          <w:sz w:val="32"/>
          <w:szCs w:val="32"/>
          <w:highlight w:val="none"/>
          <w:lang w:val="en-US" w:eastAsia="zh-CN"/>
        </w:rPr>
        <w:t>:一是国有企业以土地作价出资入股形成的非经营性资产收益，其对应地块发包净收益（扣除维护、税费等直接成本后）按照80%比例上缴国有资本收益；二是</w:t>
      </w:r>
      <w:r>
        <w:rPr>
          <w:rFonts w:hint="eastAsia" w:ascii="仿宋_GB2312" w:hAnsi="仿宋_GB2312" w:eastAsia="仿宋_GB2312" w:cs="仿宋_GB2312"/>
          <w:color w:val="auto"/>
          <w:sz w:val="32"/>
          <w:szCs w:val="32"/>
          <w:highlight w:val="none"/>
        </w:rPr>
        <w:t>其他国有资产收益</w:t>
      </w:r>
      <w:r>
        <w:rPr>
          <w:rFonts w:hint="eastAsia" w:ascii="仿宋_GB2312" w:hAnsi="仿宋_GB2312" w:eastAsia="仿宋_GB2312" w:cs="仿宋_GB2312"/>
          <w:color w:val="auto"/>
          <w:sz w:val="32"/>
          <w:szCs w:val="32"/>
          <w:highlight w:val="none"/>
          <w:lang w:eastAsia="zh-CN"/>
        </w:rPr>
        <w:t>。</w:t>
      </w:r>
    </w:p>
    <w:p>
      <w:pPr>
        <w:pStyle w:val="11"/>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 xml:space="preserve">条 </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企业国有资本经营收益应当按照规定上缴国库，纳入</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级国有资本经营预算管理。</w:t>
      </w:r>
    </w:p>
    <w:p>
      <w:pPr>
        <w:pStyle w:val="11"/>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第四条 </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国有独资企业应当以年度归属于母公司所有者的净利润为基础，依法依规扣除以前年度未弥补亏损和提取法定公积金后的剩余部分，按照上交比例，核算应交利润。</w:t>
      </w:r>
    </w:p>
    <w:p>
      <w:pPr>
        <w:keepNext w:val="0"/>
        <w:keepLines w:val="0"/>
        <w:pageBreakBefore w:val="0"/>
        <w:numPr>
          <w:ilvl w:val="0"/>
          <w:numId w:val="0"/>
        </w:numPr>
        <w:wordWrap/>
        <w:overflowPunct/>
        <w:topLinePunct w:val="0"/>
        <w:bidi w:val="0"/>
        <w:spacing w:line="57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SA"/>
        </w:rPr>
        <w:t>第五条</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国有独资企业以前年度未弥补亏损:年度未分配利润期初数与从其他综合收益等项目转出并计入未分配利润的当期发生额之和小于0的部分。</w:t>
      </w:r>
    </w:p>
    <w:p>
      <w:pPr>
        <w:keepNext w:val="0"/>
        <w:keepLines w:val="0"/>
        <w:pageBreakBefore w:val="0"/>
        <w:numPr>
          <w:ilvl w:val="0"/>
          <w:numId w:val="0"/>
        </w:numPr>
        <w:wordWrap/>
        <w:overflowPunct/>
        <w:topLinePunct w:val="0"/>
        <w:bidi w:val="0"/>
        <w:spacing w:line="57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连续三年期末归属于母公司所有者的净利润大于0且未分配利润小于0的国有独资企业和国有独资公司，且符合《中华人民共和国公司法》第二百一十四条第二款、第二百二十五条规定情形的，履行出资人职责的机构应当在第四年要求国有独资企业和国有独资公司办理资本公积金弥补亏损、减少注册资本弥补亏损事项。</w:t>
      </w:r>
    </w:p>
    <w:p>
      <w:pPr>
        <w:keepNext w:val="0"/>
        <w:keepLines w:val="0"/>
        <w:pageBreakBefore w:val="0"/>
        <w:numPr>
          <w:ilvl w:val="0"/>
          <w:numId w:val="0"/>
        </w:numPr>
        <w:wordWrap/>
        <w:overflowPunct/>
        <w:topLinePunct w:val="0"/>
        <w:bidi w:val="0"/>
        <w:spacing w:line="57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本办法所称履行出资人职责的机构</w:t>
      </w:r>
      <w:r>
        <w:rPr>
          <w:rFonts w:hint="eastAsia" w:ascii="仿宋_GB2312" w:hAnsi="仿宋_GB2312" w:eastAsia="仿宋_GB2312" w:cs="仿宋_GB2312"/>
          <w:color w:val="auto"/>
          <w:sz w:val="32"/>
          <w:szCs w:val="32"/>
          <w:highlight w:val="none"/>
        </w:rPr>
        <w:t>，是指</w:t>
      </w:r>
      <w:r>
        <w:rPr>
          <w:rFonts w:hint="eastAsia" w:ascii="仿宋_GB2312" w:hAnsi="仿宋_GB2312" w:eastAsia="仿宋_GB2312" w:cs="仿宋_GB2312"/>
          <w:color w:val="auto"/>
          <w:sz w:val="32"/>
          <w:szCs w:val="32"/>
          <w:highlight w:val="none"/>
          <w:lang w:eastAsia="zh-CN"/>
        </w:rPr>
        <w:t>县财政局（</w:t>
      </w:r>
      <w:r>
        <w:rPr>
          <w:rFonts w:hint="eastAsia" w:ascii="仿宋_GB2312" w:hAnsi="仿宋_GB2312" w:eastAsia="仿宋_GB2312" w:cs="仿宋_GB2312"/>
          <w:color w:val="auto"/>
          <w:sz w:val="32"/>
          <w:szCs w:val="32"/>
          <w:lang w:eastAsia="zh-CN"/>
        </w:rPr>
        <w:t>国有资产监督管理委员会）</w:t>
      </w:r>
      <w:r>
        <w:rPr>
          <w:rFonts w:hint="eastAsia" w:ascii="仿宋_GB2312" w:hAnsi="仿宋_GB2312" w:eastAsia="仿宋_GB2312" w:cs="仿宋_GB2312"/>
          <w:color w:val="auto"/>
          <w:sz w:val="32"/>
          <w:szCs w:val="32"/>
        </w:rPr>
        <w:t>或其他代表县人民政府履行出资人职责</w:t>
      </w:r>
      <w:r>
        <w:rPr>
          <w:rFonts w:hint="eastAsia" w:ascii="仿宋_GB2312" w:hAnsi="仿宋_GB2312" w:eastAsia="仿宋_GB2312" w:cs="仿宋_GB2312"/>
          <w:color w:val="auto"/>
          <w:sz w:val="32"/>
          <w:szCs w:val="32"/>
          <w:lang w:eastAsia="zh-CN"/>
        </w:rPr>
        <w:t>的县级党政机关、事业单位</w:t>
      </w:r>
      <w:r>
        <w:rPr>
          <w:rFonts w:hint="eastAsia" w:ascii="仿宋_GB2312" w:hAnsi="仿宋_GB2312" w:eastAsia="仿宋_GB2312" w:cs="仿宋_GB2312"/>
          <w:color w:val="auto"/>
          <w:sz w:val="32"/>
          <w:szCs w:val="32"/>
        </w:rPr>
        <w:t>。</w:t>
      </w:r>
    </w:p>
    <w:p>
      <w:pPr>
        <w:keepNext w:val="0"/>
        <w:keepLines w:val="0"/>
        <w:pageBreakBefore w:val="0"/>
        <w:numPr>
          <w:ilvl w:val="0"/>
          <w:numId w:val="0"/>
        </w:numPr>
        <w:wordWrap/>
        <w:overflowPunct/>
        <w:topLinePunct w:val="0"/>
        <w:bidi w:val="0"/>
        <w:spacing w:line="570" w:lineRule="exact"/>
        <w:ind w:firstLine="640" w:firstLineChars="200"/>
        <w:rPr>
          <w:rFonts w:hint="eastAsia" w:ascii="仿宋_GB2312" w:hAnsi="仿宋_GB2312" w:eastAsia="仿宋_GB2312" w:cs="仿宋_GB2312"/>
          <w:color w:val="auto"/>
          <w:sz w:val="32"/>
          <w:szCs w:val="32"/>
          <w:lang w:eastAsia="zh-CN"/>
        </w:rPr>
      </w:pPr>
      <w:r>
        <w:rPr>
          <w:rFonts w:hint="eastAsia" w:ascii="黑体" w:hAnsi="黑体" w:eastAsia="黑体" w:cs="黑体"/>
          <w:color w:val="auto"/>
          <w:kern w:val="0"/>
          <w:sz w:val="32"/>
          <w:szCs w:val="32"/>
          <w:lang w:val="en-US" w:eastAsia="zh-CN" w:bidi="ar-SA"/>
        </w:rPr>
        <w:t>第六条</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国有独资企业应交利润的上交比例依据国资统一监管方式或市场监管部门注册登记的国民经济行业门类代码分档确定</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wordWrap/>
        <w:overflowPunct/>
        <w:topLinePunct w:val="0"/>
        <w:bidi w:val="0"/>
        <w:spacing w:line="57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（一）具体分档如下：</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第一档为30%，具体涵盖:纳入</w:t>
      </w:r>
      <w:r>
        <w:rPr>
          <w:rFonts w:hint="eastAsia" w:ascii="仿宋_GB2312" w:hAnsi="仿宋_GB2312" w:eastAsia="仿宋_GB2312" w:cs="仿宋_GB2312"/>
          <w:color w:val="auto"/>
          <w:sz w:val="32"/>
          <w:szCs w:val="32"/>
          <w:lang w:val="en-US" w:eastAsia="zh-CN"/>
        </w:rPr>
        <w:t>县级</w:t>
      </w:r>
      <w:r>
        <w:rPr>
          <w:rFonts w:hint="default" w:ascii="仿宋_GB2312" w:hAnsi="仿宋_GB2312" w:eastAsia="仿宋_GB2312" w:cs="仿宋_GB2312"/>
          <w:color w:val="auto"/>
          <w:sz w:val="32"/>
          <w:szCs w:val="32"/>
          <w:lang w:val="en-US" w:eastAsia="zh-CN"/>
        </w:rPr>
        <w:t>国资统一监管范围的商业一类</w:t>
      </w:r>
      <w:r>
        <w:rPr>
          <w:rFonts w:hint="eastAsia" w:ascii="仿宋_GB2312" w:hAnsi="仿宋_GB2312" w:eastAsia="仿宋_GB2312" w:cs="仿宋_GB2312"/>
          <w:color w:val="auto"/>
          <w:sz w:val="32"/>
          <w:szCs w:val="32"/>
          <w:lang w:val="en-US" w:eastAsia="zh-CN"/>
        </w:rPr>
        <w:t>企业（</w:t>
      </w:r>
      <w:r>
        <w:rPr>
          <w:rFonts w:hint="default" w:ascii="仿宋_GB2312" w:hAnsi="仿宋_GB2312" w:eastAsia="仿宋_GB2312" w:cs="仿宋_GB2312"/>
          <w:color w:val="auto"/>
          <w:sz w:val="32"/>
          <w:szCs w:val="32"/>
          <w:lang w:val="en-US" w:eastAsia="zh-CN"/>
        </w:rPr>
        <w:t>处于充分竞争行业和领域</w:t>
      </w:r>
      <w:r>
        <w:rPr>
          <w:rFonts w:hint="eastAsia" w:ascii="仿宋_GB2312" w:hAnsi="仿宋_GB2312" w:eastAsia="仿宋_GB2312" w:cs="仿宋_GB2312"/>
          <w:color w:val="auto"/>
          <w:sz w:val="32"/>
          <w:szCs w:val="32"/>
          <w:lang w:val="en-US" w:eastAsia="zh-CN"/>
        </w:rPr>
        <w:t>的企业）</w:t>
      </w:r>
      <w:r>
        <w:rPr>
          <w:rFonts w:hint="default" w:ascii="仿宋_GB2312" w:hAnsi="仿宋_GB2312" w:eastAsia="仿宋_GB2312" w:cs="仿宋_GB2312"/>
          <w:color w:val="auto"/>
          <w:sz w:val="32"/>
          <w:szCs w:val="32"/>
          <w:lang w:val="en-US" w:eastAsia="zh-CN"/>
        </w:rPr>
        <w:t>。</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第二档为 25%，具体涵盖:纳入</w:t>
      </w:r>
      <w:r>
        <w:rPr>
          <w:rFonts w:hint="eastAsia" w:ascii="仿宋_GB2312" w:hAnsi="仿宋_GB2312" w:eastAsia="仿宋_GB2312" w:cs="仿宋_GB2312"/>
          <w:color w:val="auto"/>
          <w:sz w:val="32"/>
          <w:szCs w:val="32"/>
          <w:lang w:val="en-US" w:eastAsia="zh-CN"/>
        </w:rPr>
        <w:t>县级</w:t>
      </w:r>
      <w:r>
        <w:rPr>
          <w:rFonts w:hint="default" w:ascii="仿宋_GB2312" w:hAnsi="仿宋_GB2312" w:eastAsia="仿宋_GB2312" w:cs="仿宋_GB2312"/>
          <w:color w:val="auto"/>
          <w:sz w:val="32"/>
          <w:szCs w:val="32"/>
          <w:lang w:val="en-US" w:eastAsia="zh-CN"/>
        </w:rPr>
        <w:t>国资统一监管范围的商业二类</w:t>
      </w:r>
      <w:r>
        <w:rPr>
          <w:rFonts w:hint="eastAsia" w:ascii="仿宋_GB2312" w:hAnsi="仿宋_GB2312" w:eastAsia="仿宋_GB2312" w:cs="仿宋_GB2312"/>
          <w:color w:val="auto"/>
          <w:sz w:val="32"/>
          <w:szCs w:val="32"/>
          <w:lang w:val="en-US" w:eastAsia="zh-CN"/>
        </w:rPr>
        <w:t>企业（</w:t>
      </w:r>
      <w:r>
        <w:rPr>
          <w:rFonts w:hint="default" w:ascii="仿宋_GB2312" w:hAnsi="仿宋_GB2312" w:eastAsia="仿宋_GB2312" w:cs="仿宋_GB2312"/>
          <w:color w:val="auto"/>
          <w:sz w:val="32"/>
          <w:szCs w:val="32"/>
          <w:lang w:val="en-US" w:eastAsia="zh-CN"/>
        </w:rPr>
        <w:t>关系国家安全、国民经济命脉</w:t>
      </w:r>
      <w:r>
        <w:rPr>
          <w:rFonts w:hint="eastAsia" w:ascii="仿宋_GB2312" w:hAnsi="仿宋_GB2312" w:eastAsia="仿宋_GB2312" w:cs="仿宋_GB2312"/>
          <w:color w:val="auto"/>
          <w:sz w:val="32"/>
          <w:szCs w:val="32"/>
          <w:lang w:val="en-US" w:eastAsia="zh-CN"/>
        </w:rPr>
        <w:t>的</w:t>
      </w:r>
      <w:r>
        <w:rPr>
          <w:rFonts w:hint="default" w:ascii="仿宋_GB2312" w:hAnsi="仿宋_GB2312" w:eastAsia="仿宋_GB2312" w:cs="仿宋_GB2312"/>
          <w:color w:val="auto"/>
          <w:sz w:val="32"/>
          <w:szCs w:val="32"/>
          <w:lang w:val="en-US" w:eastAsia="zh-CN"/>
        </w:rPr>
        <w:t>重要行业</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关键领域</w:t>
      </w:r>
      <w:r>
        <w:rPr>
          <w:rFonts w:hint="eastAsia" w:ascii="仿宋_GB2312" w:hAnsi="仿宋_GB2312" w:eastAsia="仿宋_GB2312" w:cs="仿宋_GB2312"/>
          <w:color w:val="auto"/>
          <w:sz w:val="32"/>
          <w:szCs w:val="32"/>
          <w:lang w:val="en-US" w:eastAsia="zh-CN"/>
        </w:rPr>
        <w:t>，需要</w:t>
      </w:r>
      <w:r>
        <w:rPr>
          <w:rFonts w:hint="default" w:ascii="仿宋_GB2312" w:hAnsi="仿宋_GB2312" w:eastAsia="仿宋_GB2312" w:cs="仿宋_GB2312"/>
          <w:color w:val="auto"/>
          <w:sz w:val="32"/>
          <w:szCs w:val="32"/>
          <w:lang w:val="en-US" w:eastAsia="zh-CN"/>
        </w:rPr>
        <w:t>在保障国家战略需求的前提下实现经济效益</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第三档为10%，具体涵盖:纳入</w:t>
      </w:r>
      <w:r>
        <w:rPr>
          <w:rFonts w:hint="eastAsia" w:ascii="仿宋_GB2312" w:hAnsi="仿宋_GB2312" w:eastAsia="仿宋_GB2312" w:cs="仿宋_GB2312"/>
          <w:color w:val="auto"/>
          <w:sz w:val="32"/>
          <w:szCs w:val="32"/>
          <w:lang w:val="en-US" w:eastAsia="zh-CN"/>
        </w:rPr>
        <w:t>县级</w:t>
      </w:r>
      <w:r>
        <w:rPr>
          <w:rFonts w:hint="default" w:ascii="仿宋_GB2312" w:hAnsi="仿宋_GB2312" w:eastAsia="仿宋_GB2312" w:cs="仿宋_GB2312"/>
          <w:color w:val="auto"/>
          <w:sz w:val="32"/>
          <w:szCs w:val="32"/>
          <w:lang w:val="en-US" w:eastAsia="zh-CN"/>
        </w:rPr>
        <w:t>国资统一监管范围的公益类</w:t>
      </w:r>
      <w:r>
        <w:rPr>
          <w:rFonts w:hint="eastAsia" w:ascii="仿宋_GB2312" w:hAnsi="仿宋_GB2312" w:eastAsia="仿宋_GB2312" w:cs="仿宋_GB2312"/>
          <w:color w:val="auto"/>
          <w:sz w:val="32"/>
          <w:szCs w:val="32"/>
          <w:lang w:val="en-US" w:eastAsia="zh-CN"/>
        </w:rPr>
        <w:t>企业（</w:t>
      </w:r>
      <w:r>
        <w:rPr>
          <w:rFonts w:hint="default" w:ascii="仿宋_GB2312" w:hAnsi="仿宋_GB2312" w:eastAsia="仿宋_GB2312" w:cs="仿宋_GB2312"/>
          <w:color w:val="auto"/>
          <w:sz w:val="32"/>
          <w:szCs w:val="32"/>
          <w:lang w:val="en-US" w:eastAsia="zh-CN"/>
        </w:rPr>
        <w:t>以保障民生、服务社会为根本目标，提供公共产品或服务的</w:t>
      </w:r>
      <w:r>
        <w:rPr>
          <w:rFonts w:hint="eastAsia" w:ascii="仿宋_GB2312" w:hAnsi="仿宋_GB2312" w:eastAsia="仿宋_GB2312" w:cs="仿宋_GB2312"/>
          <w:color w:val="auto"/>
          <w:sz w:val="32"/>
          <w:szCs w:val="32"/>
          <w:lang w:val="en-US" w:eastAsia="zh-CN"/>
        </w:rPr>
        <w:t>企业）。</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第四档为0，具体涵盖:司法行政监狱、戒毒类。</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方正仿宋_GBK" w:hAnsi="方正仿宋_GBK" w:eastAsia="方正仿宋_GBK" w:cs="方正仿宋_GBK"/>
          <w:i w:val="0"/>
          <w:iCs w:val="0"/>
          <w:caps w:val="0"/>
          <w:spacing w:val="6"/>
          <w:sz w:val="32"/>
          <w:szCs w:val="32"/>
          <w:highlight w:val="yellow"/>
          <w:shd w:val="clear" w:color="auto" w:fill="FFFFFF"/>
          <w:lang w:val="en-US" w:eastAsia="zh-CN"/>
        </w:rPr>
      </w:pPr>
      <w:r>
        <w:rPr>
          <w:rFonts w:hint="default" w:ascii="仿宋_GB2312" w:hAnsi="仿宋_GB2312" w:eastAsia="仿宋_GB2312" w:cs="仿宋_GB2312"/>
          <w:color w:val="auto"/>
          <w:sz w:val="32"/>
          <w:szCs w:val="32"/>
          <w:lang w:val="en-US" w:eastAsia="zh-CN"/>
        </w:rPr>
        <w:t>(二)应交利润的上交比例实行清单化管理，由</w:t>
      </w:r>
      <w:r>
        <w:rPr>
          <w:rFonts w:hint="eastAsia" w:ascii="仿宋_GB2312" w:hAnsi="仿宋_GB2312" w:eastAsia="仿宋_GB2312" w:cs="仿宋_GB2312"/>
          <w:color w:val="auto"/>
          <w:sz w:val="32"/>
          <w:szCs w:val="32"/>
          <w:lang w:eastAsia="zh-CN"/>
        </w:rPr>
        <w:t>县财政局（国有资产监督管理委员会），</w:t>
      </w:r>
      <w:r>
        <w:rPr>
          <w:rFonts w:hint="default" w:ascii="仿宋_GB2312" w:hAnsi="仿宋_GB2312" w:eastAsia="仿宋_GB2312" w:cs="仿宋_GB2312"/>
          <w:color w:val="auto"/>
          <w:sz w:val="32"/>
          <w:szCs w:val="32"/>
          <w:lang w:val="en-US" w:eastAsia="zh-CN"/>
        </w:rPr>
        <w:t>对国有企业上交收益比例逐一提出建议，报</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人民政府批准后执行。</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(三)应交利润的上交比例需要作出调整的，</w:t>
      </w:r>
      <w:r>
        <w:rPr>
          <w:rFonts w:hint="default" w:ascii="仿宋_GB2312" w:hAnsi="仿宋_GB2312" w:eastAsia="仿宋_GB2312" w:cs="仿宋_GB2312"/>
          <w:color w:val="auto"/>
          <w:sz w:val="32"/>
          <w:szCs w:val="32"/>
          <w:highlight w:val="none"/>
          <w:lang w:val="en-US" w:eastAsia="zh-CN"/>
        </w:rPr>
        <w:t>由履行出资人职责的机构提出建议，报</w:t>
      </w:r>
      <w:r>
        <w:rPr>
          <w:rFonts w:hint="eastAsia" w:ascii="仿宋_GB2312" w:hAnsi="仿宋_GB2312" w:eastAsia="仿宋_GB2312" w:cs="仿宋_GB2312"/>
          <w:color w:val="auto"/>
          <w:sz w:val="32"/>
          <w:szCs w:val="32"/>
          <w:highlight w:val="none"/>
          <w:lang w:val="en-US" w:eastAsia="zh-CN"/>
        </w:rPr>
        <w:t>县</w:t>
      </w:r>
      <w:r>
        <w:rPr>
          <w:rFonts w:hint="default" w:ascii="仿宋_GB2312" w:hAnsi="仿宋_GB2312" w:eastAsia="仿宋_GB2312" w:cs="仿宋_GB2312"/>
          <w:color w:val="auto"/>
          <w:sz w:val="32"/>
          <w:szCs w:val="32"/>
          <w:lang w:val="en-US" w:eastAsia="zh-CN"/>
        </w:rPr>
        <w:t>人民政府批准后执行。新增企业适用的分类分档上交比例，由</w:t>
      </w:r>
      <w:r>
        <w:rPr>
          <w:rFonts w:hint="eastAsia" w:ascii="仿宋_GB2312" w:hAnsi="仿宋_GB2312" w:eastAsia="仿宋_GB2312" w:cs="仿宋_GB2312"/>
          <w:color w:val="auto"/>
          <w:sz w:val="32"/>
          <w:szCs w:val="32"/>
          <w:lang w:eastAsia="zh-CN"/>
        </w:rPr>
        <w:t>县财政局（国有资产监督管理委员会）</w:t>
      </w:r>
      <w:r>
        <w:rPr>
          <w:rFonts w:hint="default" w:ascii="仿宋_GB2312" w:hAnsi="仿宋_GB2312" w:eastAsia="仿宋_GB2312" w:cs="仿宋_GB2312"/>
          <w:color w:val="auto"/>
          <w:sz w:val="32"/>
          <w:szCs w:val="32"/>
          <w:lang w:val="en-US" w:eastAsia="zh-CN"/>
        </w:rPr>
        <w:t>机构审核确认，法律法规另有规定的，依其规定执行。</w:t>
      </w:r>
    </w:p>
    <w:p>
      <w:pPr>
        <w:keepNext w:val="0"/>
        <w:keepLines w:val="0"/>
        <w:pageBreakBefore w:val="0"/>
        <w:numPr>
          <w:ilvl w:val="0"/>
          <w:numId w:val="0"/>
        </w:numPr>
        <w:wordWrap/>
        <w:overflowPunct/>
        <w:topLinePunct w:val="0"/>
        <w:bidi w:val="0"/>
        <w:spacing w:line="570" w:lineRule="exact"/>
        <w:ind w:firstLine="640" w:firstLineChars="200"/>
        <w:rPr>
          <w:rFonts w:hint="eastAsia" w:ascii="仿宋_GB2312" w:hAnsi="仿宋_GB2312" w:eastAsia="仿宋_GB2312" w:cs="仿宋_GB2312"/>
          <w:color w:val="auto"/>
          <w:sz w:val="32"/>
          <w:szCs w:val="32"/>
          <w:lang w:val="en-US" w:eastAsia="zh-CN"/>
        </w:rPr>
      </w:pPr>
      <w:r>
        <w:rPr>
          <w:rFonts w:hint="default" w:ascii="黑体" w:hAnsi="黑体" w:eastAsia="黑体" w:cs="黑体"/>
          <w:color w:val="auto"/>
          <w:kern w:val="0"/>
          <w:sz w:val="32"/>
          <w:szCs w:val="32"/>
          <w:lang w:val="en-US" w:eastAsia="zh-CN" w:bidi="ar-SA"/>
        </w:rPr>
        <w:t>第七条</w:t>
      </w:r>
      <w:r>
        <w:rPr>
          <w:rFonts w:hint="eastAsia" w:ascii="黑体" w:hAnsi="黑体" w:eastAsia="黑体" w:cs="黑体"/>
          <w:color w:val="auto"/>
          <w:kern w:val="0"/>
          <w:sz w:val="32"/>
          <w:szCs w:val="32"/>
          <w:lang w:val="en-US" w:eastAsia="zh-CN" w:bidi="ar-SA"/>
        </w:rPr>
        <w:t xml:space="preserve">  </w:t>
      </w:r>
      <w:r>
        <w:rPr>
          <w:rFonts w:hint="default" w:ascii="仿宋_GB2312" w:hAnsi="仿宋_GB2312" w:eastAsia="仿宋_GB2312" w:cs="仿宋_GB2312"/>
          <w:color w:val="auto"/>
          <w:sz w:val="32"/>
          <w:szCs w:val="32"/>
          <w:lang w:val="en-US" w:eastAsia="zh-CN"/>
        </w:rPr>
        <w:t>国有控股和参股企业应当以股东会或股东大会决议通过的利润分配方案中明确的利润分配总额为基础，按照国有股权(股份)占总股本(总股份)的比例，核算国有股股息红利</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kern w:val="0"/>
          <w:sz w:val="32"/>
          <w:szCs w:val="32"/>
          <w:lang w:val="en-US" w:eastAsia="zh-CN" w:bidi="ar-SA"/>
        </w:rPr>
        <w:t>第八条</w:t>
      </w:r>
      <w:r>
        <w:rPr>
          <w:rFonts w:hint="eastAsia" w:ascii="黑体" w:hAnsi="黑体" w:eastAsia="黑体" w:cs="黑体"/>
          <w:color w:val="auto"/>
          <w:kern w:val="0"/>
          <w:sz w:val="32"/>
          <w:szCs w:val="32"/>
          <w:lang w:val="en-US" w:eastAsia="zh-CN" w:bidi="ar-SA"/>
        </w:rPr>
        <w:t xml:space="preserve">  </w:t>
      </w:r>
      <w:r>
        <w:rPr>
          <w:rFonts w:hint="default" w:ascii="仿宋_GB2312" w:hAnsi="仿宋_GB2312" w:eastAsia="仿宋_GB2312" w:cs="仿宋_GB2312"/>
          <w:color w:val="auto"/>
          <w:sz w:val="32"/>
          <w:szCs w:val="32"/>
          <w:lang w:val="en-US" w:eastAsia="zh-CN"/>
        </w:rPr>
        <w:t>履行出资人职责的机构应当委派股东代表参加国有控股和参股企业召开的股东会或股东大会，股东代表应当按照履行出资人职责的机构的指示提出提案、发表意见、行使表决权。履行出资人职责的机构应当综合考虑国有经济布局优化和结构调整总体要求和企业所处行业特点、发展阶段、财务状况、发展规划以及其他股东意见等，研究提出国有控股、参股企业利润分配意见，利润分配原则上不低于同类国有独资企业收益上交水平。履行出资人职责的机构应当督促国有控股和参股企业依法及时制定利润分配方案，股东会或股东大会审议决定上年利润分配方案的时间原则上不晚于当年6月底。国有控股、参股企业应当在利润分配方案通过后20个工作日内按规定上交国有股股息红利。股东会或股东大会决定不分配利润的，应当向履行出资人职责的机构报告。</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kern w:val="0"/>
          <w:sz w:val="32"/>
          <w:szCs w:val="32"/>
          <w:lang w:val="en-US" w:eastAsia="zh-CN" w:bidi="ar-SA"/>
        </w:rPr>
        <w:t>第九条</w:t>
      </w:r>
      <w:r>
        <w:rPr>
          <w:rFonts w:hint="eastAsia" w:ascii="黑体" w:hAnsi="黑体" w:eastAsia="黑体" w:cs="黑体"/>
          <w:color w:val="auto"/>
          <w:kern w:val="0"/>
          <w:sz w:val="32"/>
          <w:szCs w:val="32"/>
          <w:lang w:val="en-US" w:eastAsia="zh-CN" w:bidi="ar-SA"/>
        </w:rPr>
        <w:t xml:space="preserve">  </w:t>
      </w:r>
      <w:r>
        <w:rPr>
          <w:rFonts w:hint="default" w:ascii="仿宋_GB2312" w:hAnsi="仿宋_GB2312" w:eastAsia="仿宋_GB2312" w:cs="仿宋_GB2312"/>
          <w:color w:val="auto"/>
          <w:sz w:val="32"/>
          <w:szCs w:val="32"/>
          <w:lang w:val="en-US" w:eastAsia="zh-CN"/>
        </w:rPr>
        <w:t>国有企业属于下列特殊情形的，按照以下规定上交收益。</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国有企业经</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人民政府批准，代履行出资人职责的机构持有其他国有企业股权的，履行出资人职责的机构对其他国有企业享有收益权、处置权、知情权，不改变现行国有资产监管体制。其他国有企业应当按照本办法第六条、第七条有关规定将国有资本收益单独上交履行出资人职责的机构。</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kern w:val="0"/>
          <w:sz w:val="32"/>
          <w:szCs w:val="32"/>
          <w:lang w:val="en-US" w:eastAsia="zh-CN" w:bidi="ar-SA"/>
        </w:rPr>
        <w:t>第十条</w:t>
      </w:r>
      <w:r>
        <w:rPr>
          <w:rFonts w:hint="eastAsia" w:ascii="黑体" w:hAnsi="黑体" w:eastAsia="黑体" w:cs="黑体"/>
          <w:color w:val="auto"/>
          <w:kern w:val="0"/>
          <w:sz w:val="32"/>
          <w:szCs w:val="32"/>
          <w:lang w:val="en-US" w:eastAsia="zh-CN" w:bidi="ar-SA"/>
        </w:rPr>
        <w:t xml:space="preserve">  </w:t>
      </w:r>
      <w:r>
        <w:rPr>
          <w:rFonts w:hint="default" w:ascii="仿宋_GB2312" w:hAnsi="仿宋_GB2312" w:eastAsia="仿宋_GB2312" w:cs="仿宋_GB2312"/>
          <w:color w:val="auto"/>
          <w:sz w:val="32"/>
          <w:szCs w:val="32"/>
          <w:lang w:val="en-US" w:eastAsia="zh-CN"/>
        </w:rPr>
        <w:t>履行出资人职责的机构应当根据转让行为决策文件、国有股权(股份)转让合同、经核准的资产评估报告等，按照国有股权(股份)占总股本(总股份)的比例，据实核算上交国有产权转让收入。</w:t>
      </w:r>
    </w:p>
    <w:p>
      <w:pPr>
        <w:keepNext w:val="0"/>
        <w:keepLines w:val="0"/>
        <w:pageBreakBefore w:val="0"/>
        <w:numPr>
          <w:ilvl w:val="0"/>
          <w:numId w:val="0"/>
        </w:numPr>
        <w:wordWrap/>
        <w:overflowPunct/>
        <w:topLinePunct w:val="0"/>
        <w:bidi w:val="0"/>
        <w:spacing w:line="570" w:lineRule="exact"/>
        <w:ind w:firstLine="640" w:firstLineChars="200"/>
        <w:rPr>
          <w:rFonts w:hint="eastAsia" w:ascii="仿宋_GB2312" w:hAnsi="仿宋_GB2312" w:eastAsia="仿宋_GB2312" w:cs="仿宋_GB2312"/>
          <w:color w:val="auto"/>
          <w:sz w:val="32"/>
          <w:szCs w:val="32"/>
          <w:lang w:val="en-US" w:eastAsia="zh-CN"/>
        </w:rPr>
      </w:pPr>
      <w:r>
        <w:rPr>
          <w:rFonts w:hint="default" w:ascii="黑体" w:hAnsi="黑体" w:eastAsia="黑体" w:cs="黑体"/>
          <w:color w:val="auto"/>
          <w:kern w:val="0"/>
          <w:sz w:val="32"/>
          <w:szCs w:val="32"/>
          <w:lang w:val="en-US" w:eastAsia="zh-CN" w:bidi="ar-SA"/>
        </w:rPr>
        <w:t>第十一条</w:t>
      </w:r>
      <w:r>
        <w:rPr>
          <w:rFonts w:hint="eastAsia" w:ascii="黑体" w:hAnsi="黑体" w:eastAsia="黑体" w:cs="黑体"/>
          <w:color w:val="auto"/>
          <w:kern w:val="0"/>
          <w:sz w:val="32"/>
          <w:szCs w:val="32"/>
          <w:lang w:val="en-US" w:eastAsia="zh-CN" w:bidi="ar-SA"/>
        </w:rPr>
        <w:t xml:space="preserve">  </w:t>
      </w:r>
      <w:r>
        <w:rPr>
          <w:rFonts w:hint="default" w:ascii="仿宋_GB2312" w:hAnsi="仿宋_GB2312" w:eastAsia="仿宋_GB2312" w:cs="仿宋_GB2312"/>
          <w:color w:val="auto"/>
          <w:sz w:val="32"/>
          <w:szCs w:val="32"/>
          <w:lang w:val="en-US" w:eastAsia="zh-CN"/>
        </w:rPr>
        <w:t>履行出资人职责的机构应当根据</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人民政府批准文件、经股东会、股东大会、职工代表大会、债权人会议和人民法院确认的清算报告或财产分配方案等，按照国有股权(股份)占总股本(总股份)的比例，据实核算上交清算收入</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黑体" w:hAnsi="黑体" w:eastAsia="黑体" w:cs="黑体"/>
          <w:color w:val="auto"/>
          <w:kern w:val="0"/>
          <w:sz w:val="32"/>
          <w:szCs w:val="32"/>
          <w:lang w:val="en-US" w:eastAsia="zh-CN" w:bidi="ar-SA"/>
        </w:rPr>
        <w:t>第十二条</w:t>
      </w:r>
      <w:r>
        <w:rPr>
          <w:rFonts w:hint="eastAsia" w:ascii="黑体" w:hAnsi="黑体" w:eastAsia="黑体" w:cs="黑体"/>
          <w:color w:val="auto"/>
          <w:kern w:val="0"/>
          <w:sz w:val="32"/>
          <w:szCs w:val="32"/>
          <w:lang w:val="en-US" w:eastAsia="zh-CN" w:bidi="ar-SA"/>
        </w:rPr>
        <w:t xml:space="preserve"> </w:t>
      </w:r>
      <w:r>
        <w:rPr>
          <w:rFonts w:hint="eastAsia" w:ascii="黑体" w:hAnsi="黑体" w:eastAsia="黑体" w:cs="黑体"/>
          <w:color w:val="auto"/>
          <w:kern w:val="0"/>
          <w:sz w:val="32"/>
          <w:szCs w:val="32"/>
          <w:highlight w:val="none"/>
          <w:lang w:val="en-US" w:eastAsia="zh-CN" w:bidi="ar-SA"/>
        </w:rPr>
        <w:t xml:space="preserve"> </w:t>
      </w:r>
      <w:r>
        <w:rPr>
          <w:rFonts w:hint="default" w:ascii="仿宋_GB2312" w:hAnsi="仿宋_GB2312" w:eastAsia="仿宋_GB2312" w:cs="仿宋_GB2312"/>
          <w:color w:val="auto"/>
          <w:sz w:val="32"/>
          <w:szCs w:val="32"/>
          <w:highlight w:val="none"/>
          <w:lang w:val="en-US" w:eastAsia="zh-CN"/>
        </w:rPr>
        <w:t>国有资本收益收取，程序如下:</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(一)国有企业应当结合本企业的具体情况，按规定向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国有资产监督管理委员会</w:t>
      </w:r>
      <w:r>
        <w:rPr>
          <w:rFonts w:hint="default" w:ascii="仿宋_GB2312" w:hAnsi="仿宋_GB2312" w:eastAsia="仿宋_GB2312" w:cs="仿宋_GB2312"/>
          <w:color w:val="auto"/>
          <w:sz w:val="32"/>
          <w:szCs w:val="32"/>
          <w:highlight w:val="none"/>
          <w:lang w:val="en-US" w:eastAsia="zh-CN"/>
        </w:rPr>
        <w:t>申报国有资本收益。</w:t>
      </w:r>
      <w:r>
        <w:rPr>
          <w:rFonts w:hint="default" w:ascii="仿宋_GB2312" w:hAnsi="仿宋_GB2312" w:eastAsia="仿宋_GB2312" w:cs="仿宋_GB2312"/>
          <w:color w:val="auto"/>
          <w:sz w:val="32"/>
          <w:szCs w:val="32"/>
          <w:lang w:val="en-US" w:eastAsia="zh-CN"/>
        </w:rPr>
        <w:t>其中:</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1.上交应交利润的，国有企业应当据实填报《国有企业国有资本收益(应交利润)申报表》(详见附件1)，并附送上年度财务会计报告和中国注册会计师出具的审计报告</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2.上交股息红利的，国有企业应当在股东会或者股东大会表决利润分配方案后20日内，据实填报《国有企业国有资本收益(国有股股息红利)申报表》(详见附件2)，并附送股东会、股东大会的决议文件。</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上交国有产权转让收入的，国有企业应当在签订国有股权(股份)转让合同并实际收到转让收入后10日内，由国有企业或履行出资人职责的机构据实填报《国有企业国有资本收益(国有产权转让收入)申报表》(详见附件3)，并附送转让行为决策文件、国有股权(股份)转让合同、经核准的资产评估报告。</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4.上交清算收入的，国有企业应当在清算程序结束后10日内，由清算组或履行出资人职责的机构据实填报《国有企业国有资本收益(企业清算收入)申报表》(详见附件4)，并附送</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人民政府批准文件，经股东会、股东大会、职工代表大会、债权人会议和人民法院确认的清算报告或财产分配方案，清算财产执行情况报告。</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国有资产监督管理委员会</w:t>
      </w:r>
      <w:r>
        <w:rPr>
          <w:rFonts w:hint="default" w:ascii="仿宋_GB2312" w:hAnsi="仿宋_GB2312" w:eastAsia="仿宋_GB2312" w:cs="仿宋_GB2312"/>
          <w:color w:val="auto"/>
          <w:sz w:val="32"/>
          <w:szCs w:val="32"/>
          <w:lang w:val="en-US" w:eastAsia="zh-CN"/>
        </w:rPr>
        <w:t>应在收到国有企业申报文件及相关工作资料10个工作日内提出审核意见。</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三</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国有资产监督管理委员会</w:t>
      </w:r>
      <w:r>
        <w:rPr>
          <w:rFonts w:hint="default" w:ascii="仿宋_GB2312" w:hAnsi="仿宋_GB2312" w:eastAsia="仿宋_GB2312" w:cs="仿宋_GB2312"/>
          <w:color w:val="auto"/>
          <w:sz w:val="32"/>
          <w:szCs w:val="32"/>
          <w:lang w:val="en-US" w:eastAsia="zh-CN"/>
        </w:rPr>
        <w:t>收到国有企业申报文件及相关工作资料后5个工作日内，向国有企业下达国有资本收益上交通知书</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wordWrap/>
        <w:overflowPunct/>
        <w:topLinePunct w:val="0"/>
        <w:bidi w:val="0"/>
        <w:spacing w:line="57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四</w:t>
      </w:r>
      <w:r>
        <w:rPr>
          <w:rFonts w:hint="default" w:ascii="仿宋_GB2312" w:hAnsi="仿宋_GB2312" w:eastAsia="仿宋_GB2312" w:cs="仿宋_GB2312"/>
          <w:color w:val="auto"/>
          <w:sz w:val="32"/>
          <w:szCs w:val="32"/>
          <w:lang w:val="en-US" w:eastAsia="zh-CN"/>
        </w:rPr>
        <w:t>)国有企业收到</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国有资产监督管理委员会</w:t>
      </w:r>
      <w:r>
        <w:rPr>
          <w:rFonts w:hint="default" w:ascii="仿宋_GB2312" w:hAnsi="仿宋_GB2312" w:eastAsia="仿宋_GB2312" w:cs="仿宋_GB2312"/>
          <w:color w:val="auto"/>
          <w:sz w:val="32"/>
          <w:szCs w:val="32"/>
          <w:lang w:val="en-US" w:eastAsia="zh-CN"/>
        </w:rPr>
        <w:t>下达的国有资本收益上交通知书后20个工作日内到</w:t>
      </w:r>
      <w:r>
        <w:rPr>
          <w:rFonts w:hint="eastAsia" w:ascii="仿宋_GB2312" w:hAnsi="仿宋_GB2312" w:eastAsia="仿宋_GB2312" w:cs="仿宋_GB2312"/>
          <w:color w:val="auto"/>
          <w:sz w:val="32"/>
          <w:szCs w:val="32"/>
          <w:lang w:val="en-US" w:eastAsia="zh-CN"/>
        </w:rPr>
        <w:t>县财政局</w:t>
      </w:r>
      <w:r>
        <w:rPr>
          <w:rFonts w:hint="default" w:ascii="仿宋_GB2312" w:hAnsi="仿宋_GB2312" w:eastAsia="仿宋_GB2312" w:cs="仿宋_GB2312"/>
          <w:color w:val="auto"/>
          <w:sz w:val="32"/>
          <w:szCs w:val="32"/>
          <w:lang w:val="en-US" w:eastAsia="zh-CN"/>
        </w:rPr>
        <w:t>办理非税收入缴库手续</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kern w:val="0"/>
          <w:sz w:val="32"/>
          <w:szCs w:val="32"/>
          <w:lang w:val="en-US" w:eastAsia="zh-CN" w:bidi="ar-SA"/>
        </w:rPr>
        <w:t>第十三条</w:t>
      </w:r>
      <w:r>
        <w:rPr>
          <w:rFonts w:hint="eastAsia" w:ascii="黑体" w:hAnsi="黑体" w:eastAsia="黑体" w:cs="黑体"/>
          <w:color w:val="auto"/>
          <w:kern w:val="0"/>
          <w:sz w:val="32"/>
          <w:szCs w:val="32"/>
          <w:lang w:val="en-US" w:eastAsia="zh-CN" w:bidi="ar-SA"/>
        </w:rPr>
        <w:t xml:space="preserve">  </w:t>
      </w:r>
      <w:r>
        <w:rPr>
          <w:rFonts w:hint="eastAsia" w:ascii="仿宋_GB2312" w:hAnsi="仿宋_GB2312" w:eastAsia="仿宋_GB2312" w:cs="仿宋_GB2312"/>
          <w:color w:val="auto"/>
          <w:sz w:val="32"/>
          <w:szCs w:val="32"/>
          <w:highlight w:val="none"/>
          <w:lang w:val="en-US" w:eastAsia="zh-CN"/>
        </w:rPr>
        <w:t>县财政局</w:t>
      </w:r>
      <w:r>
        <w:rPr>
          <w:rFonts w:hint="default" w:ascii="仿宋_GB2312" w:hAnsi="仿宋_GB2312" w:eastAsia="仿宋_GB2312" w:cs="仿宋_GB2312"/>
          <w:color w:val="auto"/>
          <w:sz w:val="32"/>
          <w:szCs w:val="32"/>
          <w:highlight w:val="none"/>
          <w:lang w:val="en-US" w:eastAsia="zh-CN"/>
        </w:rPr>
        <w:t>、履行出资人职责的机构和国</w:t>
      </w:r>
      <w:r>
        <w:rPr>
          <w:rFonts w:hint="default" w:ascii="仿宋_GB2312" w:hAnsi="仿宋_GB2312" w:eastAsia="仿宋_GB2312" w:cs="仿宋_GB2312"/>
          <w:color w:val="auto"/>
          <w:sz w:val="32"/>
          <w:szCs w:val="32"/>
          <w:lang w:val="en-US" w:eastAsia="zh-CN"/>
        </w:rPr>
        <w:t>有企业应当按规定执收和上交国有资本收益，</w:t>
      </w:r>
      <w:r>
        <w:rPr>
          <w:rFonts w:hint="eastAsia" w:ascii="仿宋_GB2312" w:hAnsi="仿宋_GB2312" w:eastAsia="仿宋_GB2312" w:cs="仿宋_GB2312"/>
          <w:color w:val="auto"/>
          <w:sz w:val="32"/>
          <w:szCs w:val="32"/>
          <w:lang w:val="en-US" w:eastAsia="zh-CN"/>
        </w:rPr>
        <w:t>可以预缴，</w:t>
      </w:r>
      <w:r>
        <w:rPr>
          <w:rFonts w:hint="default" w:ascii="仿宋_GB2312" w:hAnsi="仿宋_GB2312" w:eastAsia="仿宋_GB2312" w:cs="仿宋_GB2312"/>
          <w:color w:val="auto"/>
          <w:sz w:val="32"/>
          <w:szCs w:val="32"/>
          <w:lang w:val="en-US" w:eastAsia="zh-CN"/>
        </w:rPr>
        <w:t>不得多收、或者自行减征、免征应交的国有资本收益。</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kern w:val="0"/>
          <w:sz w:val="32"/>
          <w:szCs w:val="32"/>
          <w:lang w:val="en-US" w:eastAsia="zh-CN" w:bidi="ar-SA"/>
        </w:rPr>
        <w:t>第十四条</w:t>
      </w:r>
      <w:r>
        <w:rPr>
          <w:rFonts w:hint="eastAsia" w:ascii="黑体" w:hAnsi="黑体" w:eastAsia="黑体" w:cs="黑体"/>
          <w:color w:val="auto"/>
          <w:kern w:val="0"/>
          <w:sz w:val="32"/>
          <w:szCs w:val="32"/>
          <w:lang w:val="en-US" w:eastAsia="zh-CN" w:bidi="ar-SA"/>
        </w:rPr>
        <w:t xml:space="preserve">  </w:t>
      </w:r>
      <w:r>
        <w:rPr>
          <w:rFonts w:hint="default" w:ascii="仿宋_GB2312" w:hAnsi="仿宋_GB2312" w:eastAsia="仿宋_GB2312" w:cs="仿宋_GB2312"/>
          <w:color w:val="auto"/>
          <w:sz w:val="32"/>
          <w:szCs w:val="32"/>
          <w:lang w:val="en-US" w:eastAsia="zh-CN"/>
        </w:rPr>
        <w:t>国有企业必须依法设置会计账薄，并保证其真实、完整。国有企业负责人对本单位的会计工作和会计资料的真实性、完整性负责。履行出资人职责的机构根据需要，可以委托会计师事务所对国有企业的年度财务会计报告进行审计，对国有企业上交国有资本收益实施管理监督，维护国有资本权益。</w:t>
      </w:r>
    </w:p>
    <w:p>
      <w:pPr>
        <w:keepNext w:val="0"/>
        <w:keepLines w:val="0"/>
        <w:pageBreakBefore w:val="0"/>
        <w:numPr>
          <w:ilvl w:val="0"/>
          <w:numId w:val="0"/>
        </w:numPr>
        <w:wordWrap/>
        <w:overflowPunct/>
        <w:topLinePunct w:val="0"/>
        <w:bidi w:val="0"/>
        <w:spacing w:line="570" w:lineRule="exact"/>
        <w:ind w:firstLine="640" w:firstLineChars="200"/>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kern w:val="0"/>
          <w:sz w:val="32"/>
          <w:szCs w:val="32"/>
          <w:lang w:val="en-US" w:eastAsia="zh-CN" w:bidi="ar-SA"/>
        </w:rPr>
        <w:t>第十五条</w:t>
      </w:r>
      <w:r>
        <w:rPr>
          <w:rFonts w:hint="eastAsia" w:ascii="黑体" w:hAnsi="黑体" w:eastAsia="黑体" w:cs="黑体"/>
          <w:color w:val="auto"/>
          <w:kern w:val="0"/>
          <w:sz w:val="32"/>
          <w:szCs w:val="32"/>
          <w:lang w:val="en-US" w:eastAsia="zh-CN" w:bidi="ar-SA"/>
        </w:rPr>
        <w:t xml:space="preserve">  </w:t>
      </w:r>
      <w:r>
        <w:rPr>
          <w:rFonts w:hint="default" w:ascii="仿宋_GB2312" w:hAnsi="仿宋_GB2312" w:eastAsia="仿宋_GB2312" w:cs="仿宋_GB2312"/>
          <w:color w:val="auto"/>
          <w:sz w:val="32"/>
          <w:szCs w:val="32"/>
          <w:lang w:val="en-US" w:eastAsia="zh-CN"/>
        </w:rPr>
        <w:t>国有企业具有不依法设置会计账薄，随意变更会计处理方法，不如实向资产评估机构、会计师事务所提供有关情况和资料，或者与资产评估机构、会计师事务所串通出具虚假资产评估报告、审计报告，以及向不同的会计资料使用者提供的财务会计报告编制依据不一致等行为的，依据相关法律法规追究其相应责任。履行出资人职责的机构或者国有企业违反法定的权限、程序，决定国有资本收益收取上交事项，造成国有资产损失的，或者违反国家财政收入管理规定的，依据相关法律法规追究其相应责任。</w:t>
      </w:r>
    </w:p>
    <w:p>
      <w:pPr>
        <w:pStyle w:val="11"/>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default" w:ascii="黑体" w:hAnsi="黑体" w:eastAsia="黑体" w:cs="黑体"/>
          <w:color w:val="auto"/>
          <w:kern w:val="0"/>
          <w:sz w:val="32"/>
          <w:szCs w:val="32"/>
          <w:lang w:val="en-US" w:eastAsia="zh-CN" w:bidi="ar-SA"/>
        </w:rPr>
        <w:t>第十六条</w:t>
      </w:r>
      <w:r>
        <w:rPr>
          <w:rFonts w:hint="eastAsia" w:ascii="黑体" w:hAnsi="黑体" w:eastAsia="黑体" w:cs="黑体"/>
          <w:color w:val="auto"/>
          <w:kern w:val="0"/>
          <w:sz w:val="32"/>
          <w:szCs w:val="32"/>
          <w:lang w:val="en-US" w:eastAsia="zh-CN" w:bidi="ar-SA"/>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财政局（国有资产监督管理委员会）</w:t>
      </w:r>
      <w:r>
        <w:rPr>
          <w:rFonts w:hint="eastAsia" w:ascii="仿宋_GB2312" w:hAnsi="仿宋_GB2312" w:eastAsia="仿宋_GB2312" w:cs="仿宋_GB2312"/>
          <w:color w:val="auto"/>
          <w:sz w:val="32"/>
          <w:szCs w:val="32"/>
        </w:rPr>
        <w:t>负责解释和修改。</w:t>
      </w:r>
    </w:p>
    <w:p>
      <w:pPr>
        <w:pStyle w:val="11"/>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olor w:val="auto"/>
          <w:sz w:val="32"/>
          <w:szCs w:val="32"/>
        </w:rPr>
        <w:t>第</w:t>
      </w:r>
      <w:r>
        <w:rPr>
          <w:rFonts w:hint="eastAsia" w:ascii="黑体" w:hAnsi="黑体" w:eastAsia="黑体"/>
          <w:color w:val="auto"/>
          <w:sz w:val="32"/>
          <w:szCs w:val="32"/>
          <w:lang w:eastAsia="zh-CN"/>
        </w:rPr>
        <w:t>十七</w:t>
      </w:r>
      <w:r>
        <w:rPr>
          <w:rFonts w:hint="eastAsia" w:ascii="黑体" w:hAnsi="黑体" w:eastAsia="黑体"/>
          <w:color w:val="auto"/>
          <w:sz w:val="32"/>
          <w:szCs w:val="32"/>
        </w:rPr>
        <w:t>条</w:t>
      </w:r>
      <w:r>
        <w:rPr>
          <w:rFonts w:hint="eastAsia" w:ascii="黑体" w:hAnsi="黑体" w:eastAsia="黑体" w:cs="黑体"/>
          <w:color w:val="auto"/>
          <w:kern w:val="0"/>
          <w:sz w:val="32"/>
          <w:szCs w:val="32"/>
          <w:lang w:val="en-US" w:eastAsia="zh-CN" w:bidi="ar-SA"/>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val="en-US" w:eastAsia="zh-CN"/>
        </w:rPr>
        <w:t>2025年8月1日</w:t>
      </w:r>
      <w:r>
        <w:rPr>
          <w:rFonts w:hint="eastAsia" w:ascii="仿宋_GB2312" w:hAnsi="仿宋_GB2312" w:eastAsia="仿宋_GB2312" w:cs="仿宋_GB2312"/>
          <w:color w:val="auto"/>
          <w:sz w:val="32"/>
          <w:szCs w:val="32"/>
        </w:rPr>
        <w:t>起施行</w:t>
      </w:r>
      <w:r>
        <w:rPr>
          <w:rFonts w:hint="eastAsia" w:ascii="仿宋_GB2312" w:hAnsi="仿宋_GB2312" w:eastAsia="仿宋_GB2312" w:cs="仿宋_GB2312"/>
          <w:color w:val="auto"/>
          <w:sz w:val="32"/>
          <w:szCs w:val="32"/>
          <w:lang w:eastAsia="zh-CN"/>
        </w:rPr>
        <w:t>，有效期</w:t>
      </w:r>
      <w:r>
        <w:rPr>
          <w:rFonts w:hint="eastAsia" w:ascii="仿宋_GB2312" w:hAnsi="仿宋_GB2312" w:eastAsia="仿宋_GB2312" w:cs="仿宋_GB2312"/>
          <w:color w:val="auto"/>
          <w:sz w:val="32"/>
          <w:szCs w:val="32"/>
          <w:lang w:val="en-US" w:eastAsia="zh-CN"/>
        </w:rPr>
        <w:t>2年，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麦盖提县县属国有企业国有资本经营收益收缴管理工作细则（试行）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同时废止。</w:t>
      </w:r>
    </w:p>
    <w:p>
      <w:pPr>
        <w:pStyle w:val="11"/>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仿宋_GB2312" w:hAnsi="仿宋_GB2312" w:eastAsia="仿宋_GB2312" w:cs="仿宋_GB2312"/>
          <w:color w:val="auto"/>
          <w:sz w:val="32"/>
          <w:szCs w:val="32"/>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textAlignment w:val="auto"/>
        <w:outlineLvl w:val="9"/>
        <w:rPr>
          <w:rFonts w:hint="default" w:ascii="仿宋_GB2312" w:hAnsi="仿宋_GB2312" w:eastAsia="仿宋_GB2312" w:cs="仿宋_GB2312"/>
          <w:color w:val="auto"/>
          <w:sz w:val="32"/>
          <w:szCs w:val="32"/>
          <w:lang w:val="en-US" w:eastAsia="zh-CN"/>
        </w:rPr>
      </w:pPr>
    </w:p>
    <w:p>
      <w:pPr>
        <w:pStyle w:val="12"/>
        <w:tabs>
          <w:tab w:val="left" w:pos="1440"/>
        </w:tabs>
        <w:spacing w:line="560" w:lineRule="exact"/>
        <w:rPr>
          <w:rFonts w:hint="eastAsia" w:ascii="仿宋_GB2312" w:hAnsi="仿宋_GB2312" w:eastAsia="仿宋_GB2312" w:cs="仿宋_GB2312"/>
          <w:b/>
          <w:bCs/>
          <w:color w:val="auto"/>
          <w:sz w:val="32"/>
          <w:szCs w:val="32"/>
        </w:rPr>
      </w:pPr>
    </w:p>
    <w:p>
      <w:pPr>
        <w:pStyle w:val="12"/>
        <w:tabs>
          <w:tab w:val="left" w:pos="1440"/>
        </w:tabs>
        <w:spacing w:line="560" w:lineRule="exact"/>
        <w:rPr>
          <w:rFonts w:hint="eastAsia" w:ascii="仿宋_GB2312" w:hAnsi="仿宋_GB2312" w:eastAsia="仿宋_GB2312" w:cs="仿宋_GB2312"/>
          <w:color w:val="auto"/>
          <w:kern w:val="0"/>
          <w:sz w:val="32"/>
          <w:szCs w:val="32"/>
          <w:u w:val="none" w:color="000000"/>
        </w:rPr>
      </w:pPr>
      <w:r>
        <w:rPr>
          <w:rFonts w:hint="eastAsia" w:ascii="仿宋_GB2312" w:hAnsi="仿宋_GB2312" w:eastAsia="仿宋_GB2312" w:cs="仿宋_GB2312"/>
          <w:b/>
          <w:bCs/>
          <w:color w:val="auto"/>
          <w:sz w:val="32"/>
          <w:szCs w:val="32"/>
        </w:rPr>
        <w:t>附</w:t>
      </w:r>
      <w:r>
        <w:rPr>
          <w:rFonts w:hint="eastAsia" w:ascii="仿宋_GB2312" w:hAnsi="仿宋_GB2312" w:eastAsia="仿宋_GB2312" w:cs="仿宋_GB2312"/>
          <w:b/>
          <w:bCs/>
          <w:color w:val="auto"/>
          <w:sz w:val="32"/>
          <w:szCs w:val="32"/>
          <w:lang w:eastAsia="zh-CN"/>
        </w:rPr>
        <w:t>件</w:t>
      </w:r>
      <w:r>
        <w:rPr>
          <w:rFonts w:hint="eastAsia" w:ascii="仿宋_GB2312" w:hAnsi="仿宋_GB2312" w:eastAsia="仿宋_GB2312" w:cs="仿宋_GB2312"/>
          <w:b/>
          <w:bCs/>
          <w:color w:val="auto"/>
          <w:sz w:val="32"/>
          <w:szCs w:val="32"/>
        </w:rPr>
        <w:t>：</w:t>
      </w:r>
      <w:r>
        <w:rPr>
          <w:rFonts w:hint="eastAsia" w:ascii="仿宋_GB2312" w:hAnsi="黑体" w:eastAsia="仿宋_GB2312"/>
          <w:color w:val="auto"/>
          <w:sz w:val="32"/>
          <w:szCs w:val="32"/>
        </w:rPr>
        <w:t>1.</w:t>
      </w:r>
      <w:r>
        <w:rPr>
          <w:rFonts w:hint="eastAsia" w:ascii="仿宋_GB2312" w:hAnsi="仿宋_GB2312" w:eastAsia="仿宋_GB2312" w:cs="仿宋_GB2312"/>
          <w:color w:val="auto"/>
          <w:sz w:val="32"/>
          <w:szCs w:val="32"/>
        </w:rPr>
        <w:t>企业国有资本经营收益（应交利润）申报表</w:t>
      </w:r>
    </w:p>
    <w:p>
      <w:pPr>
        <w:pStyle w:val="12"/>
        <w:tabs>
          <w:tab w:val="left" w:pos="1440"/>
        </w:tabs>
        <w:spacing w:line="560" w:lineRule="exact"/>
        <w:ind w:left="1914" w:leftChars="759" w:hanging="320" w:hangingChars="100"/>
        <w:rPr>
          <w:rFonts w:hint="eastAsia" w:ascii="仿宋_GB2312" w:hAnsi="仿宋_GB2312" w:eastAsia="仿宋_GB2312" w:cs="仿宋_GB2312"/>
          <w:color w:val="auto"/>
          <w:kern w:val="0"/>
          <w:sz w:val="32"/>
          <w:szCs w:val="32"/>
          <w:u w:val="none" w:color="000000"/>
        </w:rPr>
      </w:pPr>
      <w:r>
        <w:rPr>
          <w:rFonts w:hint="eastAsia" w:ascii="仿宋_GB2312" w:hAnsi="仿宋_GB2312" w:eastAsia="仿宋_GB2312" w:cs="仿宋_GB2312"/>
          <w:color w:val="auto"/>
          <w:kern w:val="0"/>
          <w:sz w:val="32"/>
          <w:szCs w:val="32"/>
          <w:u w:val="none" w:color="000000"/>
        </w:rPr>
        <w:t>2.企业国有资本经营收益（国有股股息、红利）申报表</w:t>
      </w:r>
    </w:p>
    <w:p>
      <w:pPr>
        <w:pStyle w:val="12"/>
        <w:tabs>
          <w:tab w:val="left" w:pos="1440"/>
        </w:tabs>
        <w:spacing w:line="560" w:lineRule="exact"/>
        <w:ind w:left="1914" w:leftChars="759" w:hanging="320" w:hangingChars="100"/>
        <w:rPr>
          <w:rFonts w:hint="eastAsia" w:ascii="仿宋_GB2312" w:hAnsi="仿宋_GB2312" w:eastAsia="仿宋_GB2312" w:cs="仿宋_GB2312"/>
          <w:color w:val="auto"/>
          <w:kern w:val="0"/>
          <w:sz w:val="32"/>
          <w:szCs w:val="32"/>
          <w:u w:val="none" w:color="000000"/>
        </w:rPr>
      </w:pPr>
      <w:r>
        <w:rPr>
          <w:rFonts w:hint="eastAsia" w:ascii="仿宋_GB2312" w:hAnsi="仿宋_GB2312" w:eastAsia="仿宋_GB2312" w:cs="仿宋_GB2312"/>
          <w:color w:val="auto"/>
          <w:kern w:val="0"/>
          <w:sz w:val="32"/>
          <w:szCs w:val="32"/>
          <w:u w:val="none" w:color="000000"/>
        </w:rPr>
        <w:t>3.企业国有资本经营收益（国有产权转让收入）申报表</w:t>
      </w:r>
    </w:p>
    <w:p>
      <w:pPr>
        <w:pStyle w:val="12"/>
        <w:tabs>
          <w:tab w:val="left" w:pos="1440"/>
        </w:tabs>
        <w:spacing w:line="560" w:lineRule="exact"/>
        <w:ind w:left="1914" w:leftChars="759" w:hanging="320" w:hangingChars="1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u w:val="none" w:color="000000"/>
        </w:rPr>
        <w:t>4.企业国有资本经营收益（企业清算收入）申报表</w:t>
      </w:r>
    </w:p>
    <w:p>
      <w:pPr>
        <w:pStyle w:val="11"/>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textAlignment w:val="auto"/>
        <w:outlineLvl w:val="9"/>
        <w:rPr>
          <w:rFonts w:hint="eastAsia" w:ascii="仿宋_GB2312" w:hAnsi="仿宋_GB2312" w:eastAsia="仿宋_GB2312" w:cs="仿宋_GB2312"/>
          <w:color w:val="auto"/>
          <w:sz w:val="32"/>
          <w:szCs w:val="32"/>
          <w:lang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textAlignment w:val="auto"/>
        <w:outlineLvl w:val="9"/>
        <w:rPr>
          <w:rFonts w:hint="eastAsia" w:ascii="仿宋_GB2312" w:hAnsi="仿宋_GB2312" w:eastAsia="仿宋_GB2312" w:cs="仿宋_GB2312"/>
          <w:color w:val="auto"/>
          <w:sz w:val="32"/>
          <w:szCs w:val="32"/>
          <w:lang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textAlignment w:val="auto"/>
        <w:outlineLvl w:val="9"/>
        <w:rPr>
          <w:rFonts w:hint="eastAsia" w:ascii="仿宋_GB2312" w:hAnsi="仿宋_GB2312" w:eastAsia="仿宋_GB2312" w:cs="仿宋_GB2312"/>
          <w:color w:val="auto"/>
          <w:sz w:val="32"/>
          <w:szCs w:val="32"/>
          <w:lang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textAlignment w:val="auto"/>
        <w:outlineLvl w:val="9"/>
        <w:rPr>
          <w:rFonts w:hint="eastAsia" w:ascii="仿宋_GB2312" w:hAnsi="仿宋_GB2312" w:eastAsia="仿宋_GB2312" w:cs="仿宋_GB2312"/>
          <w:color w:val="auto"/>
          <w:sz w:val="32"/>
          <w:szCs w:val="32"/>
          <w:lang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textAlignment w:val="auto"/>
        <w:outlineLvl w:val="9"/>
        <w:rPr>
          <w:rFonts w:hint="eastAsia" w:ascii="仿宋_GB2312" w:hAnsi="仿宋_GB2312" w:eastAsia="仿宋_GB2312" w:cs="仿宋_GB2312"/>
          <w:color w:val="auto"/>
          <w:sz w:val="32"/>
          <w:szCs w:val="32"/>
          <w:lang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textAlignment w:val="auto"/>
        <w:outlineLvl w:val="9"/>
        <w:rPr>
          <w:rFonts w:hint="eastAsia" w:ascii="仿宋_GB2312" w:hAnsi="仿宋_GB2312" w:eastAsia="仿宋_GB2312" w:cs="仿宋_GB2312"/>
          <w:color w:val="auto"/>
          <w:sz w:val="32"/>
          <w:szCs w:val="32"/>
          <w:lang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textAlignment w:val="auto"/>
        <w:outlineLvl w:val="9"/>
        <w:rPr>
          <w:rFonts w:hint="eastAsia" w:ascii="仿宋_GB2312" w:hAnsi="仿宋_GB2312" w:eastAsia="仿宋_GB2312" w:cs="仿宋_GB2312"/>
          <w:color w:val="auto"/>
          <w:sz w:val="32"/>
          <w:szCs w:val="32"/>
          <w:lang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textAlignment w:val="auto"/>
        <w:outlineLvl w:val="9"/>
        <w:rPr>
          <w:rFonts w:hint="eastAsia" w:ascii="仿宋_GB2312" w:hAnsi="仿宋_GB2312" w:eastAsia="仿宋_GB2312" w:cs="仿宋_GB2312"/>
          <w:color w:val="auto"/>
          <w:sz w:val="32"/>
          <w:szCs w:val="32"/>
          <w:lang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textAlignment w:val="auto"/>
        <w:outlineLvl w:val="9"/>
        <w:rPr>
          <w:rFonts w:hint="eastAsia" w:ascii="仿宋_GB2312" w:hAnsi="仿宋_GB2312" w:eastAsia="仿宋_GB2312" w:cs="仿宋_GB2312"/>
          <w:color w:val="auto"/>
          <w:sz w:val="32"/>
          <w:szCs w:val="32"/>
          <w:lang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textAlignment w:val="auto"/>
        <w:outlineLvl w:val="9"/>
        <w:rPr>
          <w:rFonts w:hint="eastAsia" w:ascii="黑体" w:hAnsi="黑体" w:eastAsia="黑体" w:cs="黑体"/>
          <w:color w:val="auto"/>
          <w:sz w:val="21"/>
          <w:szCs w:val="21"/>
          <w:lang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center"/>
        <w:textAlignment w:val="auto"/>
        <w:outlineLvl w:val="9"/>
        <w:rPr>
          <w:rFonts w:hint="eastAsia" w:ascii="微软雅黑" w:hAnsi="微软雅黑" w:eastAsia="微软雅黑" w:cs="微软雅黑"/>
          <w:b/>
          <w:bCs/>
          <w:color w:val="auto"/>
          <w:sz w:val="32"/>
          <w:szCs w:val="32"/>
          <w:lang w:val="en-US"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center"/>
        <w:textAlignment w:val="auto"/>
        <w:outlineLvl w:val="9"/>
        <w:rPr>
          <w:rFonts w:hint="eastAsia" w:ascii="微软雅黑" w:hAnsi="微软雅黑" w:eastAsia="微软雅黑" w:cs="微软雅黑"/>
          <w:b/>
          <w:bCs/>
          <w:color w:val="auto"/>
          <w:sz w:val="32"/>
          <w:szCs w:val="32"/>
          <w:lang w:val="en-US"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center"/>
        <w:textAlignment w:val="auto"/>
        <w:outlineLvl w:val="9"/>
        <w:rPr>
          <w:rFonts w:hint="eastAsia" w:ascii="微软雅黑" w:hAnsi="微软雅黑" w:eastAsia="微软雅黑" w:cs="微软雅黑"/>
          <w:b/>
          <w:bCs/>
          <w:color w:val="auto"/>
          <w:sz w:val="32"/>
          <w:szCs w:val="32"/>
          <w:lang w:val="en-US"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方正仿宋_GBK" w:hAnsi="方正仿宋_GBK" w:eastAsia="方正仿宋_GBK" w:cs="方正仿宋_GBK"/>
          <w:b w:val="0"/>
          <w:bCs w:val="0"/>
          <w:color w:val="auto"/>
          <w:sz w:val="24"/>
          <w:szCs w:val="24"/>
          <w:lang w:val="en-US"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方正仿宋_GBK" w:hAnsi="方正仿宋_GBK" w:eastAsia="方正仿宋_GBK" w:cs="方正仿宋_GBK"/>
          <w:b w:val="0"/>
          <w:bCs w:val="0"/>
          <w:color w:val="auto"/>
          <w:sz w:val="24"/>
          <w:szCs w:val="24"/>
          <w:lang w:val="en-US"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方正仿宋_GBK" w:hAnsi="方正仿宋_GBK" w:eastAsia="方正仿宋_GBK" w:cs="方正仿宋_GBK"/>
          <w:b w:val="0"/>
          <w:bCs w:val="0"/>
          <w:color w:val="auto"/>
          <w:sz w:val="24"/>
          <w:szCs w:val="24"/>
          <w:lang w:val="en-US"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方正仿宋_GBK" w:hAnsi="方正仿宋_GBK" w:eastAsia="方正仿宋_GBK" w:cs="方正仿宋_GBK"/>
          <w:b w:val="0"/>
          <w:bCs w:val="0"/>
          <w:color w:val="auto"/>
          <w:sz w:val="24"/>
          <w:szCs w:val="24"/>
          <w:lang w:val="en-US"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方正仿宋_GBK" w:hAnsi="方正仿宋_GBK" w:eastAsia="方正仿宋_GBK" w:cs="方正仿宋_GBK"/>
          <w:b w:val="0"/>
          <w:bCs w:val="0"/>
          <w:color w:val="auto"/>
          <w:sz w:val="24"/>
          <w:szCs w:val="24"/>
          <w:lang w:val="en-US" w:eastAsia="zh-CN"/>
        </w:rPr>
      </w:pPr>
    </w:p>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附件1</w:t>
      </w:r>
    </w:p>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center"/>
        <w:textAlignment w:val="auto"/>
        <w:outlineLvl w:val="9"/>
        <w:rPr>
          <w:rFonts w:hint="eastAsia" w:ascii="微软雅黑" w:hAnsi="微软雅黑" w:eastAsia="微软雅黑" w:cs="微软雅黑"/>
          <w:b/>
          <w:bCs/>
          <w:color w:val="auto"/>
          <w:sz w:val="32"/>
          <w:szCs w:val="32"/>
          <w:lang w:val="en-US" w:eastAsia="zh-CN"/>
        </w:rPr>
      </w:pPr>
      <w:r>
        <w:rPr>
          <w:rFonts w:hint="eastAsia" w:ascii="微软雅黑" w:hAnsi="微软雅黑" w:eastAsia="微软雅黑" w:cs="微软雅黑"/>
          <w:b/>
          <w:bCs/>
          <w:color w:val="auto"/>
          <w:sz w:val="32"/>
          <w:szCs w:val="32"/>
          <w:lang w:val="en-US" w:eastAsia="zh-CN"/>
        </w:rPr>
        <w:t>企业国有资本经营收益（应交利润）申报表</w:t>
      </w:r>
    </w:p>
    <w:tbl>
      <w:tblPr>
        <w:tblStyle w:val="8"/>
        <w:tblpPr w:leftFromText="180" w:rightFromText="180" w:vertAnchor="text" w:horzAnchor="page" w:tblpX="1081" w:tblpY="520"/>
        <w:tblOverlap w:val="never"/>
        <w:tblW w:w="98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3"/>
        <w:gridCol w:w="1179"/>
        <w:gridCol w:w="1771"/>
        <w:gridCol w:w="438"/>
        <w:gridCol w:w="2154"/>
        <w:gridCol w:w="793"/>
        <w:gridCol w:w="600"/>
        <w:gridCol w:w="2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82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申报单位基本情况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企业名称</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注册地址</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组织形式（国有企业或独资公司）</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所处行业</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注册资本</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开户银行</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银行帐号</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财务经理（或财务负责人）</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联系电话</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82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应交国有资本经营收益申报情况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序号</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申报数</w:t>
            </w: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县国资委审核数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合并净利润</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减：少数股东损益</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归属于母公司所有者的净利润</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减：弥补以前年度亏损</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5</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减：提取法定公积金</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6</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上交利润基数</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7</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上交利润比例</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8</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本期应交利润</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9</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加：以前年度欠交利润</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10</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减：本期已交利润</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11</w:t>
            </w:r>
          </w:p>
        </w:tc>
        <w:tc>
          <w:tcPr>
            <w:tcW w:w="2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应交（退）利润余额</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82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附送资料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82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与企业年度合并财务报表有关的资料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83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声 明</w:t>
            </w:r>
          </w:p>
        </w:tc>
        <w:tc>
          <w:tcPr>
            <w:tcW w:w="7997" w:type="dxa"/>
            <w:gridSpan w:val="6"/>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本公司对以上情况及申报资料的真实性承担法律责任。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8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c>
          <w:tcPr>
            <w:tcW w:w="2209" w:type="dxa"/>
            <w:gridSpan w:val="2"/>
            <w:tcBorders>
              <w:lef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2947" w:type="dxa"/>
            <w:gridSpan w:val="2"/>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600" w:type="dxa"/>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2241" w:type="dxa"/>
            <w:tcBorders>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8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c>
          <w:tcPr>
            <w:tcW w:w="2209" w:type="dxa"/>
            <w:gridSpan w:val="2"/>
            <w:tcBorders>
              <w:lef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294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法定代表人：（签章）</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2241" w:type="dxa"/>
            <w:tcBorders>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8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jc w:val="center"/>
              <w:rPr>
                <w:rFonts w:hint="eastAsia" w:ascii="仿宋_GB2312" w:hAnsi="仿宋_GB2312" w:eastAsia="仿宋_GB2312" w:cs="仿宋_GB2312"/>
                <w:i w:val="0"/>
                <w:color w:val="auto"/>
                <w:sz w:val="20"/>
                <w:szCs w:val="20"/>
                <w:u w:val="none"/>
              </w:rPr>
            </w:pPr>
          </w:p>
        </w:tc>
        <w:tc>
          <w:tcPr>
            <w:tcW w:w="2209" w:type="dxa"/>
            <w:gridSpan w:val="2"/>
            <w:tcBorders>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2947" w:type="dxa"/>
            <w:gridSpan w:val="2"/>
            <w:tcBorders>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600" w:type="dxa"/>
            <w:tcBorders>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16" w:lineRule="auto"/>
              <w:rPr>
                <w:rFonts w:hint="eastAsia" w:ascii="仿宋_GB2312" w:hAnsi="仿宋_GB2312" w:eastAsia="仿宋_GB2312" w:cs="仿宋_GB2312"/>
                <w:i w:val="0"/>
                <w:color w:val="auto"/>
                <w:sz w:val="20"/>
                <w:szCs w:val="20"/>
                <w:u w:val="none"/>
              </w:rPr>
            </w:pPr>
          </w:p>
        </w:tc>
        <w:tc>
          <w:tcPr>
            <w:tcW w:w="2241"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6" w:lineRule="auto"/>
              <w:jc w:val="righ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832" w:type="dxa"/>
            <w:gridSpan w:val="2"/>
            <w:noWrap w:val="0"/>
            <w:vAlign w:val="center"/>
          </w:tcPr>
          <w:p>
            <w:pP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总会计师（或财务负责人）：</w:t>
            </w:r>
          </w:p>
        </w:tc>
        <w:tc>
          <w:tcPr>
            <w:tcW w:w="2209" w:type="dxa"/>
            <w:gridSpan w:val="2"/>
            <w:noWrap w:val="0"/>
            <w:vAlign w:val="center"/>
          </w:tcPr>
          <w:p>
            <w:pPr>
              <w:rPr>
                <w:rFonts w:hint="eastAsia" w:ascii="仿宋_GB2312" w:hAnsi="仿宋_GB2312" w:eastAsia="仿宋_GB2312" w:cs="仿宋_GB2312"/>
                <w:i w:val="0"/>
                <w:color w:val="auto"/>
                <w:sz w:val="20"/>
                <w:szCs w:val="20"/>
                <w:u w:val="none"/>
              </w:rPr>
            </w:pPr>
          </w:p>
        </w:tc>
        <w:tc>
          <w:tcPr>
            <w:tcW w:w="215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经办人：</w:t>
            </w:r>
          </w:p>
        </w:tc>
        <w:tc>
          <w:tcPr>
            <w:tcW w:w="3634" w:type="dxa"/>
            <w:gridSpan w:val="3"/>
            <w:noWrap w:val="0"/>
            <w:vAlign w:val="center"/>
          </w:tcPr>
          <w:p>
            <w:pP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电话：</w:t>
            </w:r>
          </w:p>
        </w:tc>
      </w:tr>
    </w:tbl>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0"/>
          <w:szCs w:val="20"/>
          <w:lang w:val="en-US" w:eastAsia="zh-CN"/>
        </w:rPr>
        <w:t>20XX年度</w:t>
      </w:r>
    </w:p>
    <w:p>
      <w:pPr>
        <w:pStyle w:val="11"/>
        <w:keepNext w:val="0"/>
        <w:keepLines w:val="0"/>
        <w:pageBreakBefore w:val="0"/>
        <w:widowControl/>
        <w:kinsoku/>
        <w:wordWrap/>
        <w:overflowPunct/>
        <w:topLinePunct w:val="0"/>
        <w:autoSpaceDE/>
        <w:autoSpaceDN/>
        <w:bidi w:val="0"/>
        <w:adjustRightInd/>
        <w:snapToGrid/>
        <w:spacing w:line="520" w:lineRule="exact"/>
        <w:ind w:right="0" w:rightChars="0"/>
        <w:textAlignment w:val="auto"/>
        <w:outlineLvl w:val="9"/>
        <w:rPr>
          <w:rFonts w:hint="eastAsia" w:ascii="微软雅黑" w:hAnsi="微软雅黑" w:eastAsia="微软雅黑" w:cs="微软雅黑"/>
          <w:b/>
          <w:bCs/>
          <w:color w:val="auto"/>
          <w:sz w:val="32"/>
          <w:szCs w:val="32"/>
          <w:lang w:val="en-US" w:eastAsia="zh-CN"/>
        </w:rPr>
      </w:pPr>
      <w:r>
        <w:rPr>
          <w:rFonts w:hint="eastAsia" w:ascii="黑体" w:hAnsi="黑体" w:eastAsia="黑体" w:cs="黑体"/>
          <w:color w:val="auto"/>
          <w:sz w:val="20"/>
          <w:szCs w:val="20"/>
          <w:lang w:eastAsia="zh-CN"/>
        </w:rPr>
        <w:t>附件</w:t>
      </w:r>
      <w:r>
        <w:rPr>
          <w:rFonts w:hint="eastAsia" w:ascii="黑体" w:hAnsi="黑体" w:eastAsia="黑体" w:cs="黑体"/>
          <w:color w:val="auto"/>
          <w:sz w:val="20"/>
          <w:szCs w:val="20"/>
          <w:lang w:val="en-US" w:eastAsia="zh-CN"/>
        </w:rPr>
        <w:t>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lang w:val="en-US" w:eastAsia="zh-CN"/>
        </w:rPr>
        <w:t xml:space="preserve">     </w:t>
      </w:r>
      <w:r>
        <w:rPr>
          <w:rFonts w:hint="eastAsia" w:ascii="微软雅黑" w:hAnsi="微软雅黑" w:eastAsia="微软雅黑" w:cs="微软雅黑"/>
          <w:b/>
          <w:bCs/>
          <w:color w:val="auto"/>
          <w:sz w:val="24"/>
          <w:szCs w:val="24"/>
          <w:lang w:val="en-US" w:eastAsia="zh-CN"/>
        </w:rPr>
        <w:t>企业国有资本经营收益（国有股股息、红利）申报表</w:t>
      </w:r>
    </w:p>
    <w:tbl>
      <w:tblPr>
        <w:tblStyle w:val="8"/>
        <w:tblpPr w:leftFromText="180" w:rightFromText="180" w:vertAnchor="text" w:horzAnchor="page" w:tblpX="1081" w:tblpY="520"/>
        <w:tblOverlap w:val="never"/>
        <w:tblW w:w="98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3"/>
        <w:gridCol w:w="1179"/>
        <w:gridCol w:w="1771"/>
        <w:gridCol w:w="438"/>
        <w:gridCol w:w="2654"/>
        <w:gridCol w:w="293"/>
        <w:gridCol w:w="600"/>
        <w:gridCol w:w="2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82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申报单位基本情况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企业名称</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注册地址</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组织形式（国有企业或独资公司）</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所处行业</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注册资本</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开户银行</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银行帐号</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财务经理（或财务负责人）</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联系电话</w:t>
            </w:r>
          </w:p>
        </w:tc>
        <w:tc>
          <w:tcPr>
            <w:tcW w:w="622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82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应交国有资本经营收益申报情况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序号</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申报数</w:t>
            </w: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县国资委审核数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1</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归属于母公司所有者的净利润</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2</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加：年末未分配利润（以前年度亏损以负数填列）</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3</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可供分配的利润</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4</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减：提取法定公积金</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5</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可供分配利润</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6</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向投资者分配的利润</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7</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国有股权（股份）所占比例</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8</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应付国有股股息、股利</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9</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加：以前年度欠付的国有股股息、红利</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10</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减：本期已付的国有股股息、红利</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11</w:t>
            </w:r>
          </w:p>
        </w:tc>
        <w:tc>
          <w:tcPr>
            <w:tcW w:w="33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应交（退）国有股股息、红利余额</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313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82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附送资料：1、股东会（股东大会决议），2、其他资料。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82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与企业年度合并财务报表有关的资料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83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声 明</w:t>
            </w:r>
          </w:p>
        </w:tc>
        <w:tc>
          <w:tcPr>
            <w:tcW w:w="7997" w:type="dxa"/>
            <w:gridSpan w:val="6"/>
            <w:tcBorders>
              <w:top w:val="single" w:color="000000" w:sz="4" w:space="0"/>
              <w:left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本公司按照《公司法》和公司章程的规定进行利润分配，申报资料真实，合法，国有股东公平分享股息、红利及其他合法权益。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8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c>
          <w:tcPr>
            <w:tcW w:w="2209" w:type="dxa"/>
            <w:gridSpan w:val="2"/>
            <w:tcBorders>
              <w:left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2947" w:type="dxa"/>
            <w:gridSpan w:val="2"/>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法定代表人：（签章）</w:t>
            </w:r>
          </w:p>
        </w:tc>
        <w:tc>
          <w:tcPr>
            <w:tcW w:w="600" w:type="dxa"/>
            <w:noWrap w:val="0"/>
            <w:vAlign w:val="center"/>
          </w:tcPr>
          <w:p>
            <w:pPr>
              <w:rPr>
                <w:rFonts w:hint="eastAsia" w:ascii="仿宋_GB2312" w:hAnsi="仿宋_GB2312" w:eastAsia="仿宋_GB2312" w:cs="仿宋_GB2312"/>
                <w:i w:val="0"/>
                <w:color w:val="auto"/>
                <w:sz w:val="20"/>
                <w:szCs w:val="20"/>
                <w:u w:val="none"/>
              </w:rPr>
            </w:pPr>
          </w:p>
        </w:tc>
        <w:tc>
          <w:tcPr>
            <w:tcW w:w="2241" w:type="dxa"/>
            <w:tcBorders>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8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u w:val="none"/>
              </w:rPr>
            </w:pPr>
          </w:p>
        </w:tc>
        <w:tc>
          <w:tcPr>
            <w:tcW w:w="2209" w:type="dxa"/>
            <w:gridSpan w:val="2"/>
            <w:tcBorders>
              <w:left w:val="single" w:color="000000" w:sz="4" w:space="0"/>
              <w:bottom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2947" w:type="dxa"/>
            <w:gridSpan w:val="2"/>
            <w:tcBorders>
              <w:bottom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600" w:type="dxa"/>
            <w:tcBorders>
              <w:bottom w:val="single" w:color="000000" w:sz="4" w:space="0"/>
            </w:tcBorders>
            <w:noWrap w:val="0"/>
            <w:vAlign w:val="center"/>
          </w:tcPr>
          <w:p>
            <w:pPr>
              <w:rPr>
                <w:rFonts w:hint="eastAsia" w:ascii="仿宋_GB2312" w:hAnsi="仿宋_GB2312" w:eastAsia="仿宋_GB2312" w:cs="仿宋_GB2312"/>
                <w:i w:val="0"/>
                <w:color w:val="auto"/>
                <w:sz w:val="20"/>
                <w:szCs w:val="20"/>
                <w:u w:val="none"/>
              </w:rPr>
            </w:pPr>
          </w:p>
        </w:tc>
        <w:tc>
          <w:tcPr>
            <w:tcW w:w="224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832" w:type="dxa"/>
            <w:gridSpan w:val="2"/>
            <w:noWrap w:val="0"/>
            <w:vAlign w:val="center"/>
          </w:tcPr>
          <w:p>
            <w:pPr>
              <w:rPr>
                <w:rFonts w:hint="eastAsia"/>
                <w:lang w:val="en-US" w:eastAsia="zh-CN"/>
              </w:rPr>
            </w:pPr>
            <w:r>
              <w:rPr>
                <w:rFonts w:hint="eastAsia"/>
                <w:lang w:val="en-US" w:eastAsia="zh-CN"/>
              </w:rPr>
              <w:t>总会计师（或财务负责人）：</w:t>
            </w:r>
          </w:p>
          <w:p>
            <w:pPr>
              <w:pStyle w:val="2"/>
              <w:rPr>
                <w:rFonts w:hint="eastAsia"/>
              </w:rPr>
            </w:pPr>
          </w:p>
        </w:tc>
        <w:tc>
          <w:tcPr>
            <w:tcW w:w="2209" w:type="dxa"/>
            <w:gridSpan w:val="2"/>
            <w:noWrap w:val="0"/>
            <w:vAlign w:val="center"/>
          </w:tcPr>
          <w:p>
            <w:pPr>
              <w:rPr>
                <w:rFonts w:hint="eastAsia" w:ascii="仿宋_GB2312" w:hAnsi="仿宋_GB2312" w:eastAsia="仿宋_GB2312" w:cs="仿宋_GB2312"/>
                <w:i w:val="0"/>
                <w:color w:val="auto"/>
                <w:sz w:val="20"/>
                <w:szCs w:val="20"/>
                <w:u w:val="none"/>
              </w:rPr>
            </w:pPr>
          </w:p>
        </w:tc>
        <w:tc>
          <w:tcPr>
            <w:tcW w:w="2947" w:type="dxa"/>
            <w:gridSpan w:val="2"/>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经办人：</w:t>
            </w:r>
          </w:p>
        </w:tc>
        <w:tc>
          <w:tcPr>
            <w:tcW w:w="2841" w:type="dxa"/>
            <w:gridSpan w:val="2"/>
            <w:noWrap w:val="0"/>
            <w:vAlign w:val="center"/>
          </w:tcPr>
          <w:p>
            <w:pP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电话：</w:t>
            </w:r>
          </w:p>
        </w:tc>
      </w:tr>
    </w:tbl>
    <w:p>
      <w:pPr>
        <w:pStyle w:val="11"/>
        <w:keepNext w:val="0"/>
        <w:keepLines w:val="0"/>
        <w:pageBreakBefore w:val="0"/>
        <w:widowControl/>
        <w:kinsoku/>
        <w:wordWrap/>
        <w:overflowPunct/>
        <w:topLinePunct w:val="0"/>
        <w:autoSpaceDE/>
        <w:autoSpaceDN/>
        <w:bidi w:val="0"/>
        <w:adjustRightInd/>
        <w:snapToGrid/>
        <w:spacing w:line="520" w:lineRule="exact"/>
        <w:ind w:right="0" w:rightChars="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0"/>
          <w:szCs w:val="20"/>
          <w:lang w:val="en-US" w:eastAsia="zh-CN"/>
        </w:rPr>
        <w:t>20XX年度</w:t>
      </w:r>
    </w:p>
    <w:tbl>
      <w:tblPr>
        <w:tblStyle w:val="8"/>
        <w:tblpPr w:leftFromText="180" w:rightFromText="180" w:vertAnchor="text" w:horzAnchor="page" w:tblpX="1390" w:tblpY="1093"/>
        <w:tblOverlap w:val="never"/>
        <w:tblW w:w="94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6"/>
        <w:gridCol w:w="1182"/>
        <w:gridCol w:w="538"/>
        <w:gridCol w:w="1319"/>
        <w:gridCol w:w="852"/>
        <w:gridCol w:w="1627"/>
        <w:gridCol w:w="505"/>
        <w:gridCol w:w="2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949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申报单位基本情况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名称</w:t>
            </w:r>
          </w:p>
        </w:tc>
        <w:tc>
          <w:tcPr>
            <w:tcW w:w="729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地址</w:t>
            </w:r>
          </w:p>
        </w:tc>
        <w:tc>
          <w:tcPr>
            <w:tcW w:w="729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联系人</w:t>
            </w:r>
          </w:p>
        </w:tc>
        <w:tc>
          <w:tcPr>
            <w:tcW w:w="729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联系电话</w:t>
            </w:r>
          </w:p>
        </w:tc>
        <w:tc>
          <w:tcPr>
            <w:tcW w:w="729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49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企业国有产权及其他交易情况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企业名称</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组织形式（国有独资企业或国有控股参股企业）</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注册地址</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所处行业</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注册资本</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其中：国有股权（股份）</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账面资产总额</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其中：固定资产</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国有净资产</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资产评估值</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法人代表</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联系电话</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交易机构名称</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交易机构地址</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结算银行</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结算账户</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财务经理（或财务负责人）</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联系电话</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转让标的</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占国有净资产比重</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转让底价</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实际成交价</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合同签订日</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交易结算日</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49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受让方有关情况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名称</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性质</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注册地（或住所）</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资产总额</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法定代表人</w:t>
            </w:r>
          </w:p>
        </w:tc>
        <w:tc>
          <w:tcPr>
            <w:tcW w:w="21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联系电话</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49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应交国有资本经营收益申报情况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序号</w:t>
            </w:r>
          </w:p>
        </w:tc>
        <w:tc>
          <w:tcPr>
            <w:tcW w:w="389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项目</w:t>
            </w: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申报数</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县国资委审核数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w:t>
            </w:r>
          </w:p>
        </w:tc>
        <w:tc>
          <w:tcPr>
            <w:tcW w:w="389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实际转让收入</w:t>
            </w: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16"/>
                <w:szCs w:val="16"/>
                <w:u w:val="none"/>
                <w:lang w:val="en-US" w:eastAsia="zh-CN" w:bidi="ar"/>
              </w:rPr>
            </w:pP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w:t>
            </w:r>
          </w:p>
        </w:tc>
        <w:tc>
          <w:tcPr>
            <w:tcW w:w="389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加：年末未分配利润（以前年度亏损用-号表示）</w:t>
            </w: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16"/>
                <w:szCs w:val="16"/>
                <w:u w:val="none"/>
                <w:lang w:val="en-US" w:eastAsia="zh-CN" w:bidi="ar"/>
              </w:rPr>
            </w:pP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w:t>
            </w:r>
          </w:p>
        </w:tc>
        <w:tc>
          <w:tcPr>
            <w:tcW w:w="389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可分配的利润（净转让收入）</w:t>
            </w:r>
          </w:p>
        </w:tc>
        <w:tc>
          <w:tcPr>
            <w:tcW w:w="2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16"/>
                <w:szCs w:val="16"/>
                <w:u w:val="none"/>
                <w:lang w:val="en-US" w:eastAsia="zh-CN" w:bidi="ar"/>
              </w:rPr>
            </w:pPr>
          </w:p>
        </w:tc>
        <w:tc>
          <w:tcPr>
            <w:tcW w:w="2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949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附送资料：1、政府批复文件或资产监管机构批复文件；2、资产评估报告；3、交易结算单据复印件；4、转让费用清单及发票；5、产权转让合同；6、其他资料。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165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声 明</w:t>
            </w:r>
          </w:p>
        </w:tc>
        <w:tc>
          <w:tcPr>
            <w:tcW w:w="7836" w:type="dxa"/>
            <w:gridSpan w:val="6"/>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本公司按照《公司法》和公司章程的规定进行利润分配，申报资料属实，合法，国有股东公平他享股息、红利及其他合法权益。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16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c>
          <w:tcPr>
            <w:tcW w:w="1857" w:type="dxa"/>
            <w:gridSpan w:val="2"/>
            <w:tcBorders>
              <w:lef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16"/>
                <w:szCs w:val="16"/>
                <w:u w:val="none"/>
              </w:rPr>
            </w:pPr>
          </w:p>
        </w:tc>
        <w:tc>
          <w:tcPr>
            <w:tcW w:w="247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申报单位负责人（签章）</w:t>
            </w:r>
          </w:p>
        </w:tc>
        <w:tc>
          <w:tcPr>
            <w:tcW w:w="5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16"/>
                <w:szCs w:val="16"/>
                <w:u w:val="none"/>
              </w:rPr>
            </w:pPr>
          </w:p>
        </w:tc>
        <w:tc>
          <w:tcPr>
            <w:tcW w:w="2995" w:type="dxa"/>
            <w:tcBorders>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16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16"/>
                <w:szCs w:val="16"/>
                <w:u w:val="none"/>
              </w:rPr>
            </w:pPr>
          </w:p>
        </w:tc>
        <w:tc>
          <w:tcPr>
            <w:tcW w:w="1857" w:type="dxa"/>
            <w:gridSpan w:val="2"/>
            <w:tcBorders>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16"/>
                <w:szCs w:val="16"/>
                <w:u w:val="none"/>
              </w:rPr>
            </w:pPr>
          </w:p>
        </w:tc>
        <w:tc>
          <w:tcPr>
            <w:tcW w:w="2479" w:type="dxa"/>
            <w:gridSpan w:val="2"/>
            <w:tcBorders>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16"/>
                <w:szCs w:val="16"/>
                <w:u w:val="none"/>
              </w:rPr>
            </w:pPr>
          </w:p>
        </w:tc>
        <w:tc>
          <w:tcPr>
            <w:tcW w:w="505" w:type="dxa"/>
            <w:tcBorders>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16"/>
                <w:szCs w:val="16"/>
                <w:u w:val="none"/>
              </w:rPr>
            </w:pPr>
          </w:p>
        </w:tc>
        <w:tc>
          <w:tcPr>
            <w:tcW w:w="2995"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58"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总会计师（或财务负责人）：</w:t>
            </w:r>
          </w:p>
        </w:tc>
        <w:tc>
          <w:tcPr>
            <w:tcW w:w="18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16"/>
                <w:szCs w:val="16"/>
                <w:u w:val="none"/>
              </w:rPr>
            </w:pPr>
          </w:p>
        </w:tc>
        <w:tc>
          <w:tcPr>
            <w:tcW w:w="247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经办人：</w:t>
            </w:r>
          </w:p>
        </w:tc>
        <w:tc>
          <w:tcPr>
            <w:tcW w:w="3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16"/>
                <w:szCs w:val="16"/>
                <w:u w:val="none"/>
              </w:rPr>
            </w:pPr>
            <w:r>
              <w:rPr>
                <w:rFonts w:hint="eastAsia" w:ascii="仿宋_GB2312" w:hAnsi="仿宋_GB2312" w:eastAsia="仿宋_GB2312" w:cs="仿宋_GB2312"/>
                <w:i w:val="0"/>
                <w:color w:val="auto"/>
                <w:kern w:val="0"/>
                <w:sz w:val="16"/>
                <w:szCs w:val="16"/>
                <w:u w:val="none"/>
                <w:lang w:val="en-US" w:eastAsia="zh-CN" w:bidi="ar"/>
              </w:rPr>
              <w:t>电话：</w:t>
            </w:r>
          </w:p>
        </w:tc>
      </w:tr>
    </w:tbl>
    <w:p>
      <w:pPr>
        <w:pStyle w:val="11"/>
        <w:keepNext w:val="0"/>
        <w:keepLines w:val="0"/>
        <w:pageBreakBefore w:val="0"/>
        <w:widowControl/>
        <w:kinsoku/>
        <w:wordWrap/>
        <w:overflowPunct/>
        <w:topLinePunct w:val="0"/>
        <w:autoSpaceDE/>
        <w:autoSpaceDN/>
        <w:bidi w:val="0"/>
        <w:adjustRightInd/>
        <w:snapToGrid/>
        <w:spacing w:line="280" w:lineRule="exact"/>
        <w:ind w:right="0" w:rightChars="0"/>
        <w:textAlignment w:val="auto"/>
        <w:outlineLvl w:val="9"/>
        <w:rPr>
          <w:rFonts w:hint="eastAsia" w:ascii="黑体" w:hAnsi="黑体" w:eastAsia="黑体" w:cs="黑体"/>
          <w:color w:val="auto"/>
          <w:sz w:val="20"/>
          <w:szCs w:val="20"/>
          <w:lang w:eastAsia="zh-CN"/>
        </w:rPr>
      </w:pPr>
      <w:r>
        <w:rPr>
          <w:rFonts w:hint="eastAsia" w:ascii="黑体" w:hAnsi="黑体" w:eastAsia="黑体" w:cs="黑体"/>
          <w:color w:val="auto"/>
          <w:sz w:val="20"/>
          <w:szCs w:val="20"/>
          <w:lang w:eastAsia="zh-CN"/>
        </w:rPr>
        <w:t>附件</w:t>
      </w:r>
      <w:r>
        <w:rPr>
          <w:rFonts w:hint="eastAsia" w:ascii="黑体" w:hAnsi="黑体" w:eastAsia="黑体" w:cs="黑体"/>
          <w:color w:val="auto"/>
          <w:sz w:val="20"/>
          <w:szCs w:val="20"/>
          <w:lang w:val="en-US" w:eastAsia="zh-CN"/>
        </w:rPr>
        <w:t>3</w:t>
      </w:r>
      <w:r>
        <w:rPr>
          <w:rFonts w:hint="eastAsia" w:ascii="黑体" w:hAnsi="黑体" w:eastAsia="黑体" w:cs="黑体"/>
          <w:color w:val="auto"/>
          <w:sz w:val="20"/>
          <w:szCs w:val="20"/>
          <w:lang w:eastAsia="zh-CN"/>
        </w:rPr>
        <w:t>：</w:t>
      </w:r>
    </w:p>
    <w:p>
      <w:pPr>
        <w:pStyle w:val="11"/>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微软雅黑" w:hAnsi="微软雅黑" w:eastAsia="微软雅黑" w:cs="微软雅黑"/>
          <w:b/>
          <w:bCs/>
          <w:color w:val="auto"/>
          <w:sz w:val="20"/>
          <w:szCs w:val="20"/>
          <w:lang w:val="en-US" w:eastAsia="zh-CN"/>
        </w:rPr>
      </w:pPr>
      <w:r>
        <w:rPr>
          <w:rFonts w:hint="eastAsia" w:ascii="微软雅黑" w:hAnsi="微软雅黑" w:eastAsia="微软雅黑" w:cs="微软雅黑"/>
          <w:b/>
          <w:bCs/>
          <w:color w:val="auto"/>
          <w:sz w:val="20"/>
          <w:szCs w:val="20"/>
          <w:lang w:val="en-US" w:eastAsia="zh-CN"/>
        </w:rPr>
        <w:t>企业国有资本经营收益（国有产权转让收入）申报表</w:t>
      </w:r>
    </w:p>
    <w:p>
      <w:pPr>
        <w:pStyle w:val="11"/>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color w:val="auto"/>
          <w:sz w:val="20"/>
          <w:szCs w:val="20"/>
          <w:lang w:val="en-US" w:eastAsia="zh-CN"/>
        </w:rPr>
      </w:pPr>
      <w:r>
        <w:rPr>
          <w:rFonts w:hint="eastAsia" w:ascii="仿宋_GB2312" w:hAnsi="仿宋_GB2312" w:eastAsia="仿宋_GB2312" w:cs="仿宋_GB2312"/>
          <w:color w:val="auto"/>
          <w:sz w:val="20"/>
          <w:szCs w:val="20"/>
          <w:lang w:val="en-US" w:eastAsia="zh-CN"/>
        </w:rPr>
        <w:t>20XX年度</w:t>
      </w:r>
    </w:p>
    <w:p>
      <w:pPr>
        <w:pStyle w:val="11"/>
        <w:keepNext w:val="0"/>
        <w:keepLines w:val="0"/>
        <w:pageBreakBefore w:val="0"/>
        <w:widowControl/>
        <w:kinsoku/>
        <w:wordWrap/>
        <w:overflowPunct/>
        <w:topLinePunct w:val="0"/>
        <w:autoSpaceDE/>
        <w:autoSpaceDN/>
        <w:bidi w:val="0"/>
        <w:adjustRightInd/>
        <w:snapToGrid/>
        <w:spacing w:line="280" w:lineRule="exact"/>
        <w:ind w:right="0" w:rightChars="0"/>
        <w:textAlignment w:val="auto"/>
        <w:outlineLvl w:val="9"/>
        <w:rPr>
          <w:rFonts w:hint="eastAsia" w:ascii="黑体" w:hAnsi="黑体" w:eastAsia="黑体" w:cs="黑体"/>
          <w:color w:val="auto"/>
          <w:sz w:val="20"/>
          <w:szCs w:val="20"/>
          <w:lang w:eastAsia="zh-CN"/>
        </w:rPr>
      </w:pPr>
    </w:p>
    <w:p>
      <w:pPr>
        <w:pStyle w:val="11"/>
        <w:keepNext w:val="0"/>
        <w:keepLines w:val="0"/>
        <w:pageBreakBefore w:val="0"/>
        <w:widowControl/>
        <w:kinsoku/>
        <w:wordWrap/>
        <w:overflowPunct/>
        <w:topLinePunct w:val="0"/>
        <w:autoSpaceDE/>
        <w:autoSpaceDN/>
        <w:bidi w:val="0"/>
        <w:adjustRightInd/>
        <w:snapToGrid/>
        <w:spacing w:line="260" w:lineRule="exact"/>
        <w:ind w:right="0" w:rightChars="0"/>
        <w:textAlignment w:val="auto"/>
        <w:outlineLvl w:val="9"/>
        <w:rPr>
          <w:rFonts w:hint="eastAsia" w:ascii="黑体" w:hAnsi="黑体" w:eastAsia="黑体" w:cs="黑体"/>
          <w:color w:val="auto"/>
          <w:sz w:val="20"/>
          <w:szCs w:val="20"/>
          <w:lang w:eastAsia="zh-CN"/>
        </w:rPr>
      </w:pPr>
    </w:p>
    <w:p>
      <w:pPr>
        <w:pStyle w:val="11"/>
        <w:keepNext w:val="0"/>
        <w:keepLines w:val="0"/>
        <w:pageBreakBefore w:val="0"/>
        <w:widowControl/>
        <w:kinsoku/>
        <w:wordWrap/>
        <w:overflowPunct/>
        <w:topLinePunct w:val="0"/>
        <w:autoSpaceDE/>
        <w:autoSpaceDN/>
        <w:bidi w:val="0"/>
        <w:adjustRightInd/>
        <w:snapToGrid/>
        <w:spacing w:line="260" w:lineRule="exact"/>
        <w:ind w:right="0" w:rightChars="0"/>
        <w:textAlignment w:val="auto"/>
        <w:outlineLvl w:val="9"/>
        <w:rPr>
          <w:rFonts w:hint="eastAsia" w:ascii="黑体" w:hAnsi="黑体" w:eastAsia="黑体" w:cs="黑体"/>
          <w:color w:val="auto"/>
          <w:sz w:val="20"/>
          <w:szCs w:val="20"/>
          <w:lang w:eastAsia="zh-CN"/>
        </w:rPr>
      </w:pPr>
    </w:p>
    <w:p>
      <w:pPr>
        <w:pStyle w:val="11"/>
        <w:keepNext w:val="0"/>
        <w:keepLines w:val="0"/>
        <w:pageBreakBefore w:val="0"/>
        <w:widowControl/>
        <w:kinsoku/>
        <w:wordWrap/>
        <w:overflowPunct/>
        <w:topLinePunct w:val="0"/>
        <w:autoSpaceDE/>
        <w:autoSpaceDN/>
        <w:bidi w:val="0"/>
        <w:adjustRightInd/>
        <w:snapToGrid/>
        <w:spacing w:line="260" w:lineRule="exact"/>
        <w:ind w:right="0" w:rightChars="0"/>
        <w:textAlignment w:val="auto"/>
        <w:outlineLvl w:val="9"/>
        <w:rPr>
          <w:rFonts w:hint="eastAsia" w:ascii="黑体" w:hAnsi="黑体" w:eastAsia="黑体" w:cs="黑体"/>
          <w:color w:val="auto"/>
          <w:sz w:val="20"/>
          <w:szCs w:val="20"/>
          <w:lang w:eastAsia="zh-CN"/>
        </w:rPr>
      </w:pPr>
    </w:p>
    <w:p>
      <w:pPr>
        <w:pStyle w:val="11"/>
        <w:keepNext w:val="0"/>
        <w:keepLines w:val="0"/>
        <w:pageBreakBefore w:val="0"/>
        <w:widowControl/>
        <w:kinsoku/>
        <w:wordWrap/>
        <w:overflowPunct/>
        <w:topLinePunct w:val="0"/>
        <w:autoSpaceDE/>
        <w:autoSpaceDN/>
        <w:bidi w:val="0"/>
        <w:adjustRightInd/>
        <w:snapToGrid/>
        <w:spacing w:line="260" w:lineRule="exact"/>
        <w:ind w:right="0" w:rightChars="0"/>
        <w:textAlignment w:val="auto"/>
        <w:outlineLvl w:val="9"/>
        <w:rPr>
          <w:rFonts w:hint="eastAsia" w:ascii="黑体" w:hAnsi="黑体" w:eastAsia="黑体" w:cs="黑体"/>
          <w:color w:val="auto"/>
          <w:sz w:val="20"/>
          <w:szCs w:val="20"/>
          <w:lang w:eastAsia="zh-CN"/>
        </w:rPr>
      </w:pPr>
      <w:r>
        <w:rPr>
          <w:rFonts w:hint="eastAsia" w:ascii="黑体" w:hAnsi="黑体" w:eastAsia="黑体" w:cs="黑体"/>
          <w:color w:val="auto"/>
          <w:sz w:val="20"/>
          <w:szCs w:val="20"/>
          <w:lang w:eastAsia="zh-CN"/>
        </w:rPr>
        <w:t>附件</w:t>
      </w:r>
      <w:r>
        <w:rPr>
          <w:rFonts w:hint="eastAsia" w:ascii="黑体" w:hAnsi="黑体" w:eastAsia="黑体" w:cs="黑体"/>
          <w:color w:val="auto"/>
          <w:sz w:val="20"/>
          <w:szCs w:val="20"/>
          <w:lang w:val="en-US" w:eastAsia="zh-CN"/>
        </w:rPr>
        <w:t>4</w:t>
      </w:r>
      <w:r>
        <w:rPr>
          <w:rFonts w:hint="eastAsia" w:ascii="黑体" w:hAnsi="黑体" w:eastAsia="黑体" w:cs="黑体"/>
          <w:color w:val="auto"/>
          <w:sz w:val="20"/>
          <w:szCs w:val="20"/>
          <w:lang w:eastAsia="zh-CN"/>
        </w:rPr>
        <w:t>：</w:t>
      </w:r>
    </w:p>
    <w:p>
      <w:pPr>
        <w:pStyle w:val="11"/>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微软雅黑" w:hAnsi="微软雅黑" w:eastAsia="微软雅黑" w:cs="微软雅黑"/>
          <w:b/>
          <w:bCs/>
          <w:color w:val="auto"/>
          <w:sz w:val="20"/>
          <w:szCs w:val="20"/>
          <w:lang w:val="en-US" w:eastAsia="zh-CN"/>
        </w:rPr>
      </w:pPr>
      <w:r>
        <w:rPr>
          <w:rFonts w:hint="eastAsia" w:ascii="微软雅黑" w:hAnsi="微软雅黑" w:eastAsia="微软雅黑" w:cs="微软雅黑"/>
          <w:b/>
          <w:bCs/>
          <w:color w:val="auto"/>
          <w:sz w:val="20"/>
          <w:szCs w:val="20"/>
          <w:lang w:val="en-US" w:eastAsia="zh-CN"/>
        </w:rPr>
        <w:t>企业国有资本经营收益（企业清算收入）申报表</w:t>
      </w:r>
    </w:p>
    <w:tbl>
      <w:tblPr>
        <w:tblStyle w:val="8"/>
        <w:tblpPr w:leftFromText="180" w:rightFromText="180" w:vertAnchor="text" w:horzAnchor="page" w:tblpX="1568" w:tblpY="530"/>
        <w:tblOverlap w:val="never"/>
        <w:tblW w:w="9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7"/>
        <w:gridCol w:w="1123"/>
        <w:gridCol w:w="564"/>
        <w:gridCol w:w="1375"/>
        <w:gridCol w:w="980"/>
        <w:gridCol w:w="1610"/>
        <w:gridCol w:w="529"/>
        <w:gridCol w:w="2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92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申报单位（清算人或管理人）基本情况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批准成立单位</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成立时间</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开户银行</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开户账号</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财务经理（或财务负责人）</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联系电话</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92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企业清算基本情奖况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企业名称</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组织形式（国有独资企业或国有控股参股企业）</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注册地址</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所处行业</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注册资本</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其中：国有股权（股份）</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原法定代表人</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原财务负责人</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账面资产总额</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其中：固定资产</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国有净资产</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资产评估值</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账面负债总额</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账面净资产</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审计机构</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法定代表</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2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资产评估机构</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法定代表</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464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清算终结日(或法院裁定清算程序终结日）</w:t>
            </w:r>
          </w:p>
        </w:tc>
        <w:tc>
          <w:tcPr>
            <w:tcW w:w="46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92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应交企业清算收入申报情况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序号</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项目</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申报数</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县国资委审核数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1</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清算财产变价总收入</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20"/>
                <w:szCs w:val="20"/>
                <w:u w:val="none"/>
                <w:lang w:val="en-US" w:eastAsia="zh-CN" w:bidi="ar"/>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2</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减：清算费用</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20"/>
                <w:szCs w:val="20"/>
                <w:u w:val="none"/>
                <w:lang w:val="en-US" w:eastAsia="zh-CN" w:bidi="ar"/>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3</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color w:val="auto"/>
                <w:kern w:val="0"/>
                <w:sz w:val="20"/>
                <w:szCs w:val="20"/>
                <w:u w:val="none"/>
                <w:lang w:val="en-US" w:eastAsia="zh-CN" w:bidi="ar"/>
              </w:rPr>
              <w:t>减：公益债务</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auto"/>
                <w:sz w:val="20"/>
                <w:szCs w:val="20"/>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4</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剩余清算收入</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5</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减：拖欠职工的劳动债权</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20"/>
                <w:szCs w:val="20"/>
                <w:u w:val="none"/>
                <w:lang w:val="en-US" w:eastAsia="zh-CN" w:bidi="ar"/>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6</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减：缴纳欠交税款</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20"/>
                <w:szCs w:val="20"/>
                <w:u w:val="none"/>
                <w:lang w:val="en-US" w:eastAsia="zh-CN" w:bidi="ar"/>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7</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减：清偿普通债务</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20"/>
                <w:szCs w:val="20"/>
                <w:u w:val="none"/>
                <w:lang w:val="en-US" w:eastAsia="zh-CN" w:bidi="ar"/>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8</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清算净收入</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20"/>
                <w:szCs w:val="20"/>
                <w:u w:val="none"/>
                <w:lang w:val="en-US" w:eastAsia="zh-CN" w:bidi="ar"/>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9</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 xml:space="preserve">国有股权（股份）所占比例 </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20"/>
                <w:szCs w:val="20"/>
                <w:u w:val="none"/>
                <w:lang w:val="en-US" w:eastAsia="zh-CN" w:bidi="ar"/>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10</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应交企业清算收入</w:t>
            </w:r>
          </w:p>
        </w:tc>
        <w:tc>
          <w:tcPr>
            <w:tcW w:w="21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kern w:val="0"/>
                <w:sz w:val="20"/>
                <w:szCs w:val="20"/>
                <w:u w:val="none"/>
                <w:lang w:val="en-US" w:eastAsia="zh-CN" w:bidi="ar"/>
              </w:rPr>
            </w:pPr>
          </w:p>
        </w:tc>
        <w:tc>
          <w:tcPr>
            <w:tcW w:w="2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 w:hRule="atLeast"/>
        </w:trPr>
        <w:tc>
          <w:tcPr>
            <w:tcW w:w="92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附送资料：1、股东大会关于实施清算的决议或有关部门批准清算的文件；2、清算人或管理人组织成立的文件；3、清算审计报告；4、企业清算报告；5、其他资料。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17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声 明</w:t>
            </w:r>
          </w:p>
        </w:tc>
        <w:tc>
          <w:tcPr>
            <w:tcW w:w="7566" w:type="dxa"/>
            <w:gridSpan w:val="6"/>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该企业按照规定实施清算，申报资料真实，合法，国有股东合法权益没有受到损害。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17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c>
          <w:tcPr>
            <w:tcW w:w="1939" w:type="dxa"/>
            <w:gridSpan w:val="2"/>
            <w:tcBorders>
              <w:lef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20"/>
                <w:szCs w:val="20"/>
                <w:u w:val="none"/>
              </w:rPr>
            </w:pPr>
          </w:p>
        </w:tc>
        <w:tc>
          <w:tcPr>
            <w:tcW w:w="259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清算人或管理人代表（签章）</w:t>
            </w:r>
          </w:p>
        </w:tc>
        <w:tc>
          <w:tcPr>
            <w:tcW w:w="529" w:type="dxa"/>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20"/>
                <w:szCs w:val="20"/>
                <w:u w:val="none"/>
              </w:rPr>
            </w:pPr>
          </w:p>
        </w:tc>
        <w:tc>
          <w:tcPr>
            <w:tcW w:w="2508" w:type="dxa"/>
            <w:tcBorders>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（代公章）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 w:hRule="atLeast"/>
        </w:trPr>
        <w:tc>
          <w:tcPr>
            <w:tcW w:w="17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0"/>
                <w:szCs w:val="20"/>
                <w:u w:val="none"/>
              </w:rPr>
            </w:pPr>
          </w:p>
        </w:tc>
        <w:tc>
          <w:tcPr>
            <w:tcW w:w="1939" w:type="dxa"/>
            <w:gridSpan w:val="2"/>
            <w:tcBorders>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20"/>
                <w:szCs w:val="20"/>
                <w:u w:val="none"/>
              </w:rPr>
            </w:pPr>
          </w:p>
        </w:tc>
        <w:tc>
          <w:tcPr>
            <w:tcW w:w="2590" w:type="dxa"/>
            <w:gridSpan w:val="2"/>
            <w:tcBorders>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20"/>
                <w:szCs w:val="20"/>
                <w:u w:val="none"/>
              </w:rPr>
            </w:pPr>
          </w:p>
        </w:tc>
        <w:tc>
          <w:tcPr>
            <w:tcW w:w="529" w:type="dxa"/>
            <w:tcBorders>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20"/>
                <w:szCs w:val="20"/>
                <w:u w:val="none"/>
              </w:rPr>
            </w:pPr>
          </w:p>
        </w:tc>
        <w:tc>
          <w:tcPr>
            <w:tcW w:w="2508"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 w:hRule="atLeast"/>
        </w:trPr>
        <w:tc>
          <w:tcPr>
            <w:tcW w:w="1730"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申报单位负责人：</w:t>
            </w:r>
          </w:p>
        </w:tc>
        <w:tc>
          <w:tcPr>
            <w:tcW w:w="1939"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20"/>
                <w:szCs w:val="20"/>
                <w:u w:val="none"/>
              </w:rPr>
            </w:pPr>
          </w:p>
        </w:tc>
        <w:tc>
          <w:tcPr>
            <w:tcW w:w="259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经办人：</w:t>
            </w:r>
          </w:p>
        </w:tc>
        <w:tc>
          <w:tcPr>
            <w:tcW w:w="3037"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电话：</w:t>
            </w:r>
          </w:p>
        </w:tc>
      </w:tr>
    </w:tbl>
    <w:p>
      <w:pPr>
        <w:pStyle w:val="11"/>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sz w:val="20"/>
          <w:szCs w:val="20"/>
        </w:rPr>
      </w:pPr>
      <w:r>
        <w:rPr>
          <w:rFonts w:hint="eastAsia" w:ascii="仿宋_GB2312" w:hAnsi="仿宋_GB2312" w:eastAsia="仿宋_GB2312" w:cs="仿宋_GB2312"/>
          <w:color w:val="auto"/>
          <w:sz w:val="20"/>
          <w:szCs w:val="20"/>
          <w:lang w:val="en-US" w:eastAsia="zh-CN"/>
        </w:rPr>
        <w:t>20XX年度</w:t>
      </w:r>
    </w:p>
    <w:p>
      <w:pPr>
        <w:numPr>
          <w:ilvl w:val="0"/>
          <w:numId w:val="0"/>
        </w:numPr>
        <w:ind w:firstLine="640" w:firstLineChars="200"/>
        <w:rPr>
          <w:rFonts w:hint="default" w:ascii="仿宋_GB2312" w:hAnsi="仿宋_GB2312" w:eastAsia="仿宋_GB2312" w:cs="仿宋_GB2312"/>
          <w:color w:val="auto"/>
          <w:sz w:val="32"/>
          <w:szCs w:val="32"/>
          <w:lang w:val="en-US" w:eastAsia="zh-CN"/>
        </w:rPr>
      </w:pP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46195"/>
    <w:rsid w:val="05115567"/>
    <w:rsid w:val="05315A7D"/>
    <w:rsid w:val="05B366B7"/>
    <w:rsid w:val="13C927E6"/>
    <w:rsid w:val="14253608"/>
    <w:rsid w:val="15431BC1"/>
    <w:rsid w:val="15AD4D13"/>
    <w:rsid w:val="162E0AC3"/>
    <w:rsid w:val="163E1DEB"/>
    <w:rsid w:val="166318B1"/>
    <w:rsid w:val="178766DD"/>
    <w:rsid w:val="18972950"/>
    <w:rsid w:val="1DBF2FAF"/>
    <w:rsid w:val="27446195"/>
    <w:rsid w:val="2C6D231F"/>
    <w:rsid w:val="3B4733C1"/>
    <w:rsid w:val="3CF11D7F"/>
    <w:rsid w:val="3E245C38"/>
    <w:rsid w:val="4879032A"/>
    <w:rsid w:val="54400084"/>
    <w:rsid w:val="54AC551B"/>
    <w:rsid w:val="5DF474C9"/>
    <w:rsid w:val="5FA0059A"/>
    <w:rsid w:val="668F7D8F"/>
    <w:rsid w:val="6C136D6D"/>
    <w:rsid w:val="6C7F395F"/>
    <w:rsid w:val="6E3A0F28"/>
    <w:rsid w:val="7408166A"/>
    <w:rsid w:val="768C42EB"/>
    <w:rsid w:val="76A4189F"/>
    <w:rsid w:val="773F310C"/>
    <w:rsid w:val="784D1F76"/>
    <w:rsid w:val="788A0953"/>
    <w:rsid w:val="7C1C3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firstLine="538" w:firstLineChars="168"/>
    </w:pPr>
    <w:rPr>
      <w:rFonts w:ascii="仿宋_GB2312" w:eastAsia="仿宋_GB2312"/>
      <w:kern w:val="0"/>
      <w:sz w:val="32"/>
      <w:szCs w:val="23"/>
    </w:rPr>
  </w:style>
  <w:style w:type="paragraph" w:styleId="4">
    <w:name w:val="Body Text First Indent"/>
    <w:basedOn w:val="5"/>
    <w:qFormat/>
    <w:uiPriority w:val="0"/>
    <w:rPr>
      <w:rFonts w:hint="eastAsia"/>
    </w:r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Title"/>
    <w:next w:val="1"/>
    <w:qFormat/>
    <w:uiPriority w:val="0"/>
    <w:pPr>
      <w:widowControl w:val="0"/>
      <w:spacing w:line="400" w:lineRule="exact"/>
      <w:jc w:val="center"/>
      <w:outlineLvl w:val="0"/>
    </w:pPr>
    <w:rPr>
      <w:rFonts w:ascii="宋体" w:hAnsi="宋体" w:eastAsia="仿宋_GB2312" w:cs="Times New Roman"/>
      <w:b/>
      <w:bCs/>
      <w:kern w:val="2"/>
      <w:sz w:val="44"/>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p17"/>
    <w:basedOn w:val="1"/>
    <w:qFormat/>
    <w:uiPriority w:val="0"/>
    <w:pPr>
      <w:widowControl/>
      <w:spacing w:before="100" w:beforeLines="0" w:after="100" w:afterLines="0"/>
      <w:jc w:val="left"/>
    </w:pPr>
    <w:rPr>
      <w:rFonts w:ascii="宋体" w:hAnsi="宋体" w:cs="宋体"/>
      <w:kern w:val="0"/>
      <w:sz w:val="24"/>
    </w:rPr>
  </w:style>
  <w:style w:type="paragraph" w:customStyle="1" w:styleId="11">
    <w:name w:val="p0"/>
    <w:basedOn w:val="1"/>
    <w:qFormat/>
    <w:uiPriority w:val="0"/>
    <w:pPr>
      <w:widowControl/>
    </w:pPr>
    <w:rPr>
      <w:kern w:val="0"/>
      <w:szCs w:val="21"/>
    </w:rPr>
  </w:style>
  <w:style w:type="paragraph" w:customStyle="1" w:styleId="12">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5090</Words>
  <Characters>5134</Characters>
  <Lines>0</Lines>
  <Paragraphs>0</Paragraphs>
  <TotalTime>17</TotalTime>
  <ScaleCrop>false</ScaleCrop>
  <LinksUpToDate>false</LinksUpToDate>
  <CharactersWithSpaces>5204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2025-02-13T09:29:00Z</dcterms:created>
  <dc:creator>不醉不会</dc:creator>
  <cp:lastModifiedBy>Administrator</cp:lastModifiedBy>
  <cp:lastPrinted>2025-04-15T04:07:00Z</cp:lastPrinted>
  <dcterms:modified xsi:type="dcterms:W3CDTF">2025-04-27T02:29:27Z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FBB490A34B004B998972A66BD5DCBDEE_13</vt:lpwstr>
  </property>
  <property fmtid="{D5CDD505-2E9C-101B-9397-08002B2CF9AE}" pid="4" name="KSOTemplateDocerSaveRecord">
    <vt:lpwstr>eyJoZGlkIjoiM2ZiZDEyZjIyOTE4MDJlY2Y0YjRjMTQ1MzIxODVjZDUifQ==</vt:lpwstr>
  </property>
</Properties>
</file>